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&#65279;<?xml version="1.0" encoding="UTF-8"?><Relationships xmlns="http://schemas.openxmlformats.org/package/2006/relationships"><Relationship Id="rId1" Type="http://schemas.openxmlformats.org/package/2006/relationships/metadata/core-properties" Target="docProps/core.xml" /><Relationship Id="rId2" Type="http://schemas.openxmlformats.org/officeDocument/2006/relationships/extended-properties" Target="docProps/app.xml" /><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pPr>
      <w:r>
        <w:rPr/>
        <w:t>別紙</w:t>
      </w:r>
    </w:p>
    <w:p>
      <w:pPr>
        <w:pStyle w:val="Normal"/>
        <w:rPr/>
      </w:pPr>
      <w:r>
        <w:rPr/>
      </w:r>
    </w:p>
    <w:p>
      <w:pPr>
        <w:pStyle w:val="Normal"/>
        <w:rPr>
          <w:szCs w:val="24"/>
        </w:rPr>
      </w:pPr>
      <w:r>
        <w:rPr>
          <w:szCs w:val="24"/>
        </w:rPr>
        <w:t>□</w:t>
      </w:r>
      <w:r>
        <w:rPr>
          <w:szCs w:val="24"/>
        </w:rPr>
        <w:t>支援金の交付申請に関する誓約事項</w:t>
      </w:r>
    </w:p>
    <w:p>
      <w:pPr>
        <w:pStyle w:val="Normal"/>
        <w:rPr/>
      </w:pPr>
      <w:r>
        <w:rPr/>
        <mc:AlternateContent>
          <mc:Choice Requires="wps">
            <w:drawing>
              <wp:inline distT="0" distB="0" distL="0" distR="0">
                <wp:extent cx="6334760" cy="5238115"/>
                <wp:effectExtent l="0" t="0" r="0" b="0"/>
                <wp:docPr id="1" name=""/>
                <a:graphic xmlns:a="http://schemas.openxmlformats.org/drawingml/2006/main">
                  <a:graphicData uri="http://schemas.microsoft.com/office/word/2010/wordprocessingShape">
                    <wps:wsp>
                      <wps:cNvSpPr/>
                      <wps:spPr>
                        <a:xfrm>
                          <a:off x="0" y="0"/>
                          <a:ext cx="6334200" cy="5237640"/>
                        </a:xfrm>
                        <a:prstGeom prst="rect">
                          <a:avLst/>
                        </a:prstGeom>
                        <a:solidFill>
                          <a:srgbClr val="ffffff"/>
                        </a:solidFill>
                        <a:ln w="12600">
                          <a:solidFill>
                            <a:srgbClr val="000000"/>
                          </a:solidFill>
                          <a:miter/>
                        </a:ln>
                      </wps:spPr>
                      <wps:style>
                        <a:lnRef idx="0"/>
                        <a:fillRef idx="0"/>
                        <a:effectRef idx="0"/>
                        <a:fontRef idx="minor"/>
                      </wps:style>
                      <wps:txbx>
                        <w:txbxContent>
                          <w:p>
                            <w:pPr>
                              <w:pStyle w:val="Default"/>
                              <w:spacing w:before="108" w:after="0"/>
                              <w:ind w:left="234" w:right="0" w:hanging="229"/>
                              <w:rPr>
                                <w:rFonts w:ascii="ＭＳ 明朝" w:hAnsi="ＭＳ 明朝" w:eastAsia="ＭＳ 明朝"/>
                                <w:color w:val="000000"/>
                              </w:rPr>
                            </w:pPr>
                            <w:r>
                              <w:rPr>
                                <w:rFonts w:ascii="ＭＳ 明朝" w:hAnsi="ＭＳ 明朝" w:eastAsia="ＭＳ 明朝"/>
                                <w:color w:val="000000"/>
                              </w:rPr>
                              <w:t>１　「やまぐち移住就業支援事業・マッチング支援事業及び地方就職学生支援事業」に関する報告及び立入調査について、山口県及び山陽小野田市から求められた場合には、それに応じます。</w:t>
                            </w:r>
                          </w:p>
                          <w:p>
                            <w:pPr>
                              <w:pStyle w:val="FrameContents"/>
                              <w:spacing w:before="180" w:after="0"/>
                              <w:ind w:left="229" w:right="0" w:hanging="229"/>
                              <w:jc w:val="left"/>
                              <w:rPr>
                                <w:color w:val="000000"/>
                              </w:rPr>
                            </w:pPr>
                            <w:r>
                              <w:rPr>
                                <w:color w:val="000000"/>
                              </w:rPr>
                              <w:t>２　以下の場合には、やまぐち移住就業支援事業・マッチング支援事業及び地方就職学生支援事業実施要領に基づき、支援金の全額を返還します。</w:t>
                            </w:r>
                          </w:p>
                          <w:p>
                            <w:pPr>
                              <w:pStyle w:val="NoteHeading"/>
                              <w:spacing w:before="108" w:after="0"/>
                              <w:ind w:left="0" w:right="0" w:firstLine="115"/>
                              <w:jc w:val="both"/>
                              <w:rPr>
                                <w:rFonts w:ascii="ＭＳ 明朝" w:hAnsi="ＭＳ 明朝" w:eastAsia="ＭＳ 明朝"/>
                                <w:sz w:val="24"/>
                              </w:rPr>
                            </w:pPr>
                            <w:r>
                              <w:rPr>
                                <w:rFonts w:eastAsia="ＭＳ 明朝" w:ascii="ＭＳ 明朝" w:hAnsi="ＭＳ 明朝"/>
                                <w:sz w:val="24"/>
                              </w:rPr>
                              <w:t xml:space="preserve">(1) </w:t>
                            </w:r>
                            <w:r>
                              <w:rPr>
                                <w:rFonts w:ascii="ＭＳ 明朝" w:hAnsi="ＭＳ 明朝" w:eastAsia="ＭＳ 明朝"/>
                                <w:sz w:val="24"/>
                              </w:rPr>
                              <w:t>支援金の申請に当たって、虚偽の内容を申請したことが判明した場合</w:t>
                            </w:r>
                          </w:p>
                          <w:p>
                            <w:pPr>
                              <w:pStyle w:val="FrameContents"/>
                              <w:spacing w:before="108" w:after="0"/>
                              <w:ind w:left="344" w:right="0" w:hanging="229"/>
                              <w:rPr/>
                            </w:pPr>
                            <w:r>
                              <w:rPr/>
                              <w:t xml:space="preserve">(2) </w:t>
                            </w:r>
                            <w:r>
                              <w:rPr/>
                              <w:t>（在学中に交通費を申請する場合）支援金の申請日から</w:t>
                            </w:r>
                            <w:r>
                              <w:rPr/>
                              <w:t>1</w:t>
                            </w:r>
                            <w:r>
                              <w:rPr/>
                              <w:t>年以内に支援金の要件を満たす就職先への就職を行わなかった場合</w:t>
                            </w:r>
                          </w:p>
                          <w:p>
                            <w:pPr>
                              <w:pStyle w:val="FrameContents"/>
                              <w:spacing w:before="108" w:after="0"/>
                              <w:ind w:left="344" w:right="0" w:hanging="344"/>
                              <w:rPr/>
                            </w:pPr>
                            <w:r>
                              <w:rPr/>
                              <w:t>（</w:t>
                            </w:r>
                            <w:r>
                              <w:rPr/>
                              <w:t>3</w:t>
                            </w:r>
                            <w:r>
                              <w:rPr/>
                              <w:t>）（在学中に交通費を申請する場合）支援金の申請日から１年以内に山陽小野田市に転入しなかった場合（ただし、申請時に既に転入していた場合は除く）</w:t>
                            </w:r>
                          </w:p>
                          <w:p>
                            <w:pPr>
                              <w:pStyle w:val="FrameContents"/>
                              <w:spacing w:before="108" w:after="0"/>
                              <w:ind w:left="459" w:right="0" w:hanging="344"/>
                              <w:rPr/>
                            </w:pPr>
                            <w:r>
                              <w:rPr/>
                              <w:t xml:space="preserve">(4) </w:t>
                            </w:r>
                            <w:r>
                              <w:rPr/>
                              <w:t>就業開始日から１年以内に要件を満たす就業先を辞した場合（ただし、離職日から３月以内に山口県内の別の企業に就職した場合は除く）</w:t>
                            </w:r>
                          </w:p>
                          <w:p>
                            <w:pPr>
                              <w:pStyle w:val="FrameContents"/>
                              <w:spacing w:before="108" w:after="0"/>
                              <w:ind w:left="344" w:right="0" w:hanging="229"/>
                              <w:rPr/>
                            </w:pPr>
                            <w:r>
                              <w:rPr/>
                              <w:t xml:space="preserve">(5) </w:t>
                            </w:r>
                            <w:r>
                              <w:rPr/>
                              <w:t>転入日から１年以内に山陽小野田市から転出した場合（ただし、進学時に住民票を移さず本市から転居していた場合は、申請日又は就業開始日のうち遅い日から１年以内）</w:t>
                            </w:r>
                          </w:p>
                          <w:p>
                            <w:pPr>
                              <w:pStyle w:val="FrameContents"/>
                              <w:spacing w:before="108" w:after="0"/>
                              <w:ind w:left="229" w:right="0" w:hanging="229"/>
                              <w:rPr/>
                            </w:pPr>
                            <w:r>
                              <w:rPr/>
                              <w:t>３　支援金の支給を受けた後に実施される山陽小野田市からの確認により、現況の報告を求められた場合には、それに応じます。</w:t>
                            </w:r>
                          </w:p>
                          <w:p>
                            <w:pPr>
                              <w:pStyle w:val="FrameContents"/>
                              <w:jc w:val="center"/>
                              <w:rPr/>
                            </w:pPr>
                            <w:r>
                              <w:rPr/>
                            </w:r>
                          </w:p>
                        </w:txbxContent>
                      </wps:txbx>
                      <wps:bodyPr>
                        <a:noAutofit/>
                      </wps:bodyPr>
                    </wps:wsp>
                  </a:graphicData>
                </a:graphic>
              </wp:inline>
            </w:drawing>
          </mc:Choice>
          <mc:Fallback>
            <w:pict>
              <v:rect id="shape_0" fillcolor="white" stroked="t" style="position:absolute;margin-left:0pt;margin-top:0pt;width:498.7pt;height:412.35pt">
                <w10:wrap type="square"/>
                <v:fill o:detectmouseclick="t" type="solid" color2="black"/>
                <v:stroke color="black" weight="12600" joinstyle="miter" endcap="flat"/>
                <v:textbox>
                  <w:txbxContent>
                    <w:p>
                      <w:pPr>
                        <w:pStyle w:val="Default"/>
                        <w:spacing w:before="108" w:after="0"/>
                        <w:ind w:left="234" w:right="0" w:hanging="229"/>
                        <w:rPr>
                          <w:rFonts w:ascii="ＭＳ 明朝" w:hAnsi="ＭＳ 明朝" w:eastAsia="ＭＳ 明朝"/>
                          <w:color w:val="000000"/>
                        </w:rPr>
                      </w:pPr>
                      <w:r>
                        <w:rPr>
                          <w:rFonts w:ascii="ＭＳ 明朝" w:hAnsi="ＭＳ 明朝" w:eastAsia="ＭＳ 明朝"/>
                          <w:color w:val="000000"/>
                        </w:rPr>
                        <w:t>１　「やまぐち移住就業支援事業・マッチング支援事業及び地方就職学生支援事業」に関する報告及び立入調査について、山口県及び山陽小野田市から求められた場合には、それに応じます。</w:t>
                      </w:r>
                    </w:p>
                    <w:p>
                      <w:pPr>
                        <w:pStyle w:val="FrameContents"/>
                        <w:spacing w:before="180" w:after="0"/>
                        <w:ind w:left="229" w:right="0" w:hanging="229"/>
                        <w:jc w:val="left"/>
                        <w:rPr>
                          <w:color w:val="000000"/>
                        </w:rPr>
                      </w:pPr>
                      <w:r>
                        <w:rPr>
                          <w:color w:val="000000"/>
                        </w:rPr>
                        <w:t>２　以下の場合には、やまぐち移住就業支援事業・マッチング支援事業及び地方就職学生支援事業実施要領に基づき、支援金の全額を返還します。</w:t>
                      </w:r>
                    </w:p>
                    <w:p>
                      <w:pPr>
                        <w:pStyle w:val="NoteHeading"/>
                        <w:spacing w:before="108" w:after="0"/>
                        <w:ind w:left="0" w:right="0" w:firstLine="115"/>
                        <w:jc w:val="both"/>
                        <w:rPr>
                          <w:rFonts w:ascii="ＭＳ 明朝" w:hAnsi="ＭＳ 明朝" w:eastAsia="ＭＳ 明朝"/>
                          <w:sz w:val="24"/>
                        </w:rPr>
                      </w:pPr>
                      <w:r>
                        <w:rPr>
                          <w:rFonts w:eastAsia="ＭＳ 明朝" w:ascii="ＭＳ 明朝" w:hAnsi="ＭＳ 明朝"/>
                          <w:sz w:val="24"/>
                        </w:rPr>
                        <w:t xml:space="preserve">(1) </w:t>
                      </w:r>
                      <w:r>
                        <w:rPr>
                          <w:rFonts w:ascii="ＭＳ 明朝" w:hAnsi="ＭＳ 明朝" w:eastAsia="ＭＳ 明朝"/>
                          <w:sz w:val="24"/>
                        </w:rPr>
                        <w:t>支援金の申請に当たって、虚偽の内容を申請したことが判明した場合</w:t>
                      </w:r>
                    </w:p>
                    <w:p>
                      <w:pPr>
                        <w:pStyle w:val="FrameContents"/>
                        <w:spacing w:before="108" w:after="0"/>
                        <w:ind w:left="344" w:right="0" w:hanging="229"/>
                        <w:rPr/>
                      </w:pPr>
                      <w:r>
                        <w:rPr/>
                        <w:t xml:space="preserve">(2) </w:t>
                      </w:r>
                      <w:r>
                        <w:rPr/>
                        <w:t>（在学中に交通費を申請する場合）支援金の申請日から</w:t>
                      </w:r>
                      <w:r>
                        <w:rPr/>
                        <w:t>1</w:t>
                      </w:r>
                      <w:r>
                        <w:rPr/>
                        <w:t>年以内に支援金の要件を満たす就職先への就職を行わなかった場合</w:t>
                      </w:r>
                    </w:p>
                    <w:p>
                      <w:pPr>
                        <w:pStyle w:val="FrameContents"/>
                        <w:spacing w:before="108" w:after="0"/>
                        <w:ind w:left="344" w:right="0" w:hanging="344"/>
                        <w:rPr/>
                      </w:pPr>
                      <w:r>
                        <w:rPr/>
                        <w:t>（</w:t>
                      </w:r>
                      <w:r>
                        <w:rPr/>
                        <w:t>3</w:t>
                      </w:r>
                      <w:r>
                        <w:rPr/>
                        <w:t>）（在学中に交通費を申請する場合）支援金の申請日から１年以内に山陽小野田市に転入しなかった場合（ただし、申請時に既に転入していた場合は除く）</w:t>
                      </w:r>
                    </w:p>
                    <w:p>
                      <w:pPr>
                        <w:pStyle w:val="FrameContents"/>
                        <w:spacing w:before="108" w:after="0"/>
                        <w:ind w:left="459" w:right="0" w:hanging="344"/>
                        <w:rPr/>
                      </w:pPr>
                      <w:r>
                        <w:rPr/>
                        <w:t xml:space="preserve">(4) </w:t>
                      </w:r>
                      <w:r>
                        <w:rPr/>
                        <w:t>就業開始日から１年以内に要件を満たす就業先を辞した場合（ただし、離職日から３月以内に山口県内の別の企業に就職した場合は除く）</w:t>
                      </w:r>
                    </w:p>
                    <w:p>
                      <w:pPr>
                        <w:pStyle w:val="FrameContents"/>
                        <w:spacing w:before="108" w:after="0"/>
                        <w:ind w:left="344" w:right="0" w:hanging="229"/>
                        <w:rPr/>
                      </w:pPr>
                      <w:r>
                        <w:rPr/>
                        <w:t xml:space="preserve">(5) </w:t>
                      </w:r>
                      <w:r>
                        <w:rPr/>
                        <w:t>転入日から１年以内に山陽小野田市から転出した場合（ただし、進学時に住民票を移さず本市から転居していた場合は、申請日又は就業開始日のうち遅い日から１年以内）</w:t>
                      </w:r>
                    </w:p>
                    <w:p>
                      <w:pPr>
                        <w:pStyle w:val="FrameContents"/>
                        <w:spacing w:before="108" w:after="0"/>
                        <w:ind w:left="229" w:right="0" w:hanging="229"/>
                        <w:rPr/>
                      </w:pPr>
                      <w:r>
                        <w:rPr/>
                        <w:t>３　支援金の支給を受けた後に実施される山陽小野田市からの確認により、現況の報告を求められた場合には、それに応じます。</w:t>
                      </w:r>
                    </w:p>
                    <w:p>
                      <w:pPr>
                        <w:pStyle w:val="FrameContents"/>
                        <w:jc w:val="center"/>
                        <w:rPr/>
                      </w:pPr>
                      <w:r>
                        <w:rPr/>
                      </w:r>
                    </w:p>
                  </w:txbxContent>
                </v:textbox>
              </v:rect>
            </w:pict>
          </mc:Fallback>
        </mc:AlternateContent>
      </w:r>
    </w:p>
    <w:p>
      <w:pPr>
        <w:pStyle w:val="Normal"/>
        <w:rPr/>
      </w:pPr>
      <w:r>
        <w:rPr/>
      </w:r>
    </w:p>
    <w:p>
      <w:pPr>
        <w:pStyle w:val="Normal"/>
        <w:rPr/>
      </w:pPr>
      <w:r>
        <w:rPr/>
      </w:r>
    </w:p>
    <w:p>
      <w:pPr>
        <w:pStyle w:val="Normal"/>
        <w:ind w:left="364" w:right="0" w:hanging="249"/>
        <w:rPr/>
      </w:pPr>
      <w:r>
        <w:rPr>
          <w:color w:val="000000"/>
          <w:sz w:val="26"/>
          <w:szCs w:val="26"/>
        </w:rPr>
        <w:t>□</w:t>
      </w:r>
      <w:r>
        <w:rPr>
          <w:color w:val="000000"/>
        </w:rPr>
        <w:t>「やまぐち移住就業支援事業・マッチング支援事業及び地方就職学生支援事業」</w:t>
      </w:r>
      <w:r>
        <w:rPr>
          <w:sz w:val="26"/>
          <w:szCs w:val="26"/>
        </w:rPr>
        <w:t>に</w:t>
      </w:r>
      <w:r>
        <w:rPr>
          <w:szCs w:val="24"/>
        </w:rPr>
        <w:t>係る個人情報の取扱い</w:t>
      </w:r>
    </w:p>
    <w:p>
      <w:pPr>
        <w:pStyle w:val="Normal"/>
        <w:jc w:val="center"/>
        <w:rPr/>
      </w:pPr>
      <w:r>
        <w:rPr/>
        <mc:AlternateContent>
          <mc:Choice Requires="wps">
            <w:drawing>
              <wp:anchor behindDoc="0" distT="0" distB="24130" distL="114300" distR="136525" simplePos="0" locked="0" layoutInCell="1" allowOverlap="1" relativeHeight="4">
                <wp:simplePos x="0" y="0"/>
                <wp:positionH relativeFrom="margin">
                  <wp:align>right</wp:align>
                </wp:positionH>
                <wp:positionV relativeFrom="paragraph">
                  <wp:posOffset>51435</wp:posOffset>
                </wp:positionV>
                <wp:extent cx="6284595" cy="1691640"/>
                <wp:effectExtent l="0" t="0" r="0" b="0"/>
                <wp:wrapNone/>
                <wp:docPr id="3" name="正方形/長方形 3"/>
                <a:graphic xmlns:a="http://schemas.openxmlformats.org/drawingml/2006/main">
                  <a:graphicData uri="http://schemas.microsoft.com/office/word/2010/wordprocessingShape">
                    <wps:wsp>
                      <wps:cNvSpPr/>
                      <wps:spPr>
                        <a:xfrm>
                          <a:off x="0" y="0"/>
                          <a:ext cx="6283800" cy="1690920"/>
                        </a:xfrm>
                        <a:prstGeom prst="rect">
                          <a:avLst/>
                        </a:prstGeom>
                        <a:noFill/>
                        <a:ln w="12600">
                          <a:solidFill>
                            <a:srgbClr val="000000"/>
                          </a:solidFill>
                          <a:miter/>
                        </a:ln>
                      </wps:spPr>
                      <wps:style>
                        <a:lnRef idx="0"/>
                        <a:fillRef idx="0"/>
                        <a:effectRef idx="0"/>
                        <a:fontRef idx="minor"/>
                      </wps:style>
                      <wps:txbx>
                        <w:txbxContent>
                          <w:p>
                            <w:pPr>
                              <w:pStyle w:val="FrameContents"/>
                              <w:ind w:left="0" w:right="0" w:firstLine="229"/>
                              <w:jc w:val="left"/>
                              <w:rPr/>
                            </w:pPr>
                            <w:r>
                              <w:rPr>
                                <w:color w:val="000000"/>
                              </w:rPr>
                              <w:t>山口県及び山陽小野田市は、「やまぐち移住就業支援事業・マッチング支援事業及び地方就職学生支援事業」の実施に際して得た個人情報について、個人情報の保護に関する法律等の規定に基づき適切に管理し、本事業の実施のために利用します。</w:t>
                            </w:r>
                          </w:p>
                          <w:p>
                            <w:pPr>
                              <w:pStyle w:val="FrameContents"/>
                              <w:jc w:val="left"/>
                              <w:rPr/>
                            </w:pPr>
                            <w:r>
                              <w:rPr>
                                <w:color w:val="000000"/>
                              </w:rPr>
                              <w:t>　また、山口県及び山陽小野田市は、当該個人情報について、他の都道府県において実施する移住支援事業の円滑な実施、国への実施状況の報告等のため、国、他の都道府県、他の市区町村に提供し、又は確認する場合があります。</w:t>
                            </w:r>
                          </w:p>
                        </w:txbxContent>
                      </wps:txbx>
                      <wps:bodyPr anchor="ctr">
                        <a:noAutofit/>
                      </wps:bodyPr>
                    </wps:wsp>
                  </a:graphicData>
                </a:graphic>
              </wp:anchor>
            </w:drawing>
          </mc:Choice>
          <mc:Fallback>
            <w:pict>
              <v:rect id="shape_0" ID="正方形/長方形 3" stroked="t" style="position:absolute;margin-left:-9.55pt;margin-top:4.05pt;width:494.75pt;height:133.1pt;mso-position-horizontal:right;mso-position-horizontal-relative:margin">
                <w10:wrap type="square"/>
                <v:fill o:detectmouseclick="t" on="false"/>
                <v:stroke color="black" weight="12600" joinstyle="miter" endcap="flat"/>
                <v:textbox>
                  <w:txbxContent>
                    <w:p>
                      <w:pPr>
                        <w:pStyle w:val="FrameContents"/>
                        <w:ind w:left="0" w:right="0" w:firstLine="229"/>
                        <w:jc w:val="left"/>
                        <w:rPr/>
                      </w:pPr>
                      <w:r>
                        <w:rPr>
                          <w:color w:val="000000"/>
                        </w:rPr>
                        <w:t>山口県及び山陽小野田市は、「やまぐち移住就業支援事業・マッチング支援事業及び地方就職学生支援事業」の実施に際して得た個人情報について、個人情報の保護に関する法律等の規定に基づき適切に管理し、本事業の実施のために利用します。</w:t>
                      </w:r>
                    </w:p>
                    <w:p>
                      <w:pPr>
                        <w:pStyle w:val="FrameContents"/>
                        <w:jc w:val="left"/>
                        <w:rPr/>
                      </w:pPr>
                      <w:r>
                        <w:rPr>
                          <w:color w:val="000000"/>
                        </w:rPr>
                        <w:t>　また、山口県及び山陽小野田市は、当該個人情報について、他の都道府県において実施する移住支援事業の円滑な実施、国への実施状況の報告等のため、国、他の都道府県、他の市区町村に提供し、又は確認する場合があります。</w:t>
                      </w:r>
                    </w:p>
                  </w:txbxContent>
                </v:textbox>
              </v:rect>
            </w:pict>
          </mc:Fallback>
        </mc:AlternateContent>
      </w:r>
    </w:p>
    <w:p>
      <w:pPr>
        <w:pStyle w:val="Normal"/>
        <w:jc w:val="center"/>
        <w:rPr/>
      </w:pPr>
      <w:r>
        <w:rPr/>
      </w:r>
    </w:p>
    <w:p>
      <w:pPr>
        <w:pStyle w:val="Normal"/>
        <w:jc w:val="left"/>
        <w:rPr/>
      </w:pPr>
      <w:r>
        <w:rPr/>
        <w:t>　</w:t>
      </w:r>
    </w:p>
    <w:p>
      <w:pPr>
        <w:pStyle w:val="Normal"/>
        <w:rPr/>
      </w:pPr>
      <w:r>
        <w:rPr/>
      </w:r>
    </w:p>
    <w:sectPr>
      <w:type w:val="nextPage"/>
      <w:pgSz w:w="11906" w:h="16838"/>
      <w:pgMar w:left="1134" w:right="851" w:header="0" w:top="1134" w:footer="0" w:bottom="1134" w:gutter="0"/>
      <w:pgNumType w:fmt="decimal"/>
      <w:formProt w:val="false"/>
      <w:textDirection w:val="lrTb"/>
      <w:docGrid w:type="linesAndChars"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ＭＳ 明朝">
    <w:charset w:val="01"/>
    <w:family w:val="roman"/>
    <w:pitch w:val="variable"/>
  </w:font>
  <w:font w:name="游明朝">
    <w:charset w:val="01"/>
    <w:family w:val="roman"/>
    <w:pitch w:val="variable"/>
  </w:font>
  <w:font w:name="游ゴシック Light">
    <w:charset w:val="01"/>
    <w:family w:val="roman"/>
    <w:pitch w:val="variable"/>
  </w:font>
  <w:font w:name="Liberation Sans">
    <w:altName w:val="Arial"/>
    <w:charset w:val="01"/>
    <w:family w:val="swiss"/>
    <w:pitch w:val="variable"/>
  </w:font>
  <w:font w:name="ＭＳ ゴシック">
    <w:charset w:val="01"/>
    <w:family w:val="roman"/>
    <w:pitch w:val="variable"/>
  </w:font>
</w:fonts>
</file>

<file path=word/settings.xml><?xml version="1.0" encoding="utf-8"?>
<w:settings xmlns:w="http://schemas.openxmlformats.org/wordprocessingml/2006/main">
  <w:zoom w:percent="100"/>
  <w:defaultTabStop w:val="84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ＭＳ 明朝" w:hAnsi="ＭＳ 明朝" w:eastAsia="ＭＳ 明朝" w:cs="Tahoma"/>
        <w:sz w:val="24"/>
        <w:szCs w:val="22"/>
        <w:lang w:val="en-US" w:eastAsia="ja-JP" w:bidi="ar-SA"/>
      </w:rPr>
    </w:rPrDefault>
    <w:pPrDefault>
      <w:pPr/>
    </w:pPrDefault>
  </w:docDefaults>
  <w:style w:type="paragraph" w:styleId="Normal">
    <w:name w:val="Normal"/>
    <w:qFormat/>
    <w:pPr>
      <w:widowControl w:val="false"/>
      <w:kinsoku w:val="true"/>
      <w:overflowPunct w:val="true"/>
      <w:autoSpaceDE w:val="true"/>
      <w:bidi w:val="0"/>
      <w:jc w:val="both"/>
    </w:pPr>
    <w:rPr>
      <w:rFonts w:ascii="ＭＳ 明朝" w:hAnsi="ＭＳ 明朝" w:eastAsia="ＭＳ 明朝"/>
      <w:color w:val="auto"/>
      <w:sz w:val="24"/>
      <w:szCs w:val="22"/>
      <w:lang w:val="en-US" w:eastAsia="ja-JP" w:bidi="ar-SA"/>
    </w:rPr>
  </w:style>
  <w:style w:type="character" w:styleId="DefaultParagraphFont">
    <w:name w:val="Default Paragraph Font"/>
    <w:qFormat/>
    <w:rPr/>
  </w:style>
  <w:style w:type="character" w:styleId="Style14">
    <w:name w:val="記 (文字)"/>
    <w:basedOn w:val="DefaultParagraphFont"/>
    <w:qFormat/>
    <w:rPr>
      <w:rFonts w:ascii="游明朝" w:hAnsi="游明朝" w:eastAsia="游明朝"/>
      <w:sz w:val="21"/>
    </w:rPr>
  </w:style>
  <w:style w:type="character" w:styleId="Style15">
    <w:name w:val="吹き出し (文字)"/>
    <w:basedOn w:val="DefaultParagraphFont"/>
    <w:qFormat/>
    <w:rPr>
      <w:rFonts w:ascii="游ゴシック Light" w:hAnsi="游ゴシック Light" w:eastAsia="游ゴシック Light" w:cs="Tahoma"/>
      <w:sz w:val="18"/>
      <w:szCs w:val="18"/>
    </w:rPr>
  </w:style>
  <w:style w:type="character" w:styleId="Style16">
    <w:name w:val="ヘッダー (文字)"/>
    <w:basedOn w:val="DefaultParagraphFont"/>
    <w:qFormat/>
    <w:rPr/>
  </w:style>
  <w:style w:type="character" w:styleId="Style17">
    <w:name w:val="フッター (文字)"/>
    <w:basedOn w:val="DefaultParagraphFont"/>
    <w:qFormat/>
    <w:rPr/>
  </w:style>
  <w:style w:type="paragraph" w:styleId="Heading">
    <w:name w:val="Heading"/>
    <w:basedOn w:val="Normal"/>
    <w:next w:val="TextBody"/>
    <w:qFormat/>
    <w:pPr>
      <w:keepNext/>
      <w:widowControl w:val="false"/>
      <w:bidi w:val="0"/>
      <w:spacing w:before="240" w:after="120"/>
      <w:jc w:val="both"/>
    </w:pPr>
    <w:rPr>
      <w:rFonts w:ascii="Liberation Sans" w:hAnsi="Liberation Sans" w:eastAsia="Tahoma" w:cs="DejaVu Sans"/>
      <w:sz w:val="28"/>
      <w:szCs w:val="28"/>
    </w:rPr>
  </w:style>
  <w:style w:type="paragraph" w:styleId="TextBody">
    <w:name w:val="Body Text"/>
    <w:basedOn w:val="Normal"/>
    <w:pPr>
      <w:widowControl w:val="false"/>
      <w:bidi w:val="0"/>
      <w:spacing w:lineRule="auto" w:line="288" w:before="0" w:after="140"/>
      <w:jc w:val="both"/>
    </w:pPr>
    <w:rPr/>
  </w:style>
  <w:style w:type="paragraph" w:styleId="List">
    <w:name w:val="List"/>
    <w:basedOn w:val="TextBody"/>
    <w:pPr>
      <w:widowControl w:val="false"/>
      <w:bidi w:val="0"/>
      <w:jc w:val="both"/>
    </w:pPr>
    <w:rPr>
      <w:rFonts w:cs="DejaVu Sans"/>
    </w:rPr>
  </w:style>
  <w:style w:type="paragraph" w:styleId="Caption">
    <w:name w:val="Caption"/>
    <w:basedOn w:val="Normal"/>
    <w:qFormat/>
    <w:pPr>
      <w:widowControl w:val="false"/>
      <w:suppressLineNumbers/>
      <w:bidi w:val="0"/>
      <w:spacing w:before="120" w:after="120"/>
      <w:jc w:val="both"/>
    </w:pPr>
    <w:rPr>
      <w:rFonts w:cs="DejaVu Sans"/>
      <w:i/>
      <w:iCs/>
      <w:sz w:val="24"/>
      <w:szCs w:val="24"/>
    </w:rPr>
  </w:style>
  <w:style w:type="paragraph" w:styleId="Index">
    <w:name w:val="Index"/>
    <w:basedOn w:val="Normal"/>
    <w:qFormat/>
    <w:pPr>
      <w:widowControl w:val="false"/>
      <w:suppressLineNumbers/>
      <w:bidi w:val="0"/>
      <w:jc w:val="both"/>
    </w:pPr>
    <w:rPr>
      <w:rFonts w:cs="DejaVu Sans"/>
    </w:rPr>
  </w:style>
  <w:style w:type="paragraph" w:styleId="NoteHeading">
    <w:name w:val="Note Heading"/>
    <w:basedOn w:val="Normal"/>
    <w:qFormat/>
    <w:pPr>
      <w:widowControl w:val="false"/>
      <w:bidi w:val="0"/>
      <w:jc w:val="center"/>
    </w:pPr>
    <w:rPr>
      <w:rFonts w:ascii="游明朝" w:hAnsi="游明朝" w:eastAsia="游明朝"/>
      <w:sz w:val="21"/>
    </w:rPr>
  </w:style>
  <w:style w:type="paragraph" w:styleId="Default">
    <w:name w:val="Default"/>
    <w:qFormat/>
    <w:pPr>
      <w:widowControl w:val="false"/>
      <w:kinsoku w:val="true"/>
      <w:overflowPunct w:val="true"/>
      <w:autoSpaceDE w:val="true"/>
      <w:bidi w:val="0"/>
      <w:jc w:val="left"/>
    </w:pPr>
    <w:rPr>
      <w:rFonts w:ascii="ＭＳ ゴシック" w:hAnsi="ＭＳ ゴシック" w:eastAsia="ＭＳ ゴシック" w:cs="ＭＳ ゴシック"/>
      <w:color w:val="000000"/>
      <w:sz w:val="24"/>
      <w:szCs w:val="24"/>
      <w:lang w:val="en-US" w:eastAsia="ja-JP" w:bidi="ar-SA"/>
    </w:rPr>
  </w:style>
  <w:style w:type="paragraph" w:styleId="BalloonText">
    <w:name w:val="Balloon Text"/>
    <w:basedOn w:val="Normal"/>
    <w:qFormat/>
    <w:pPr>
      <w:widowControl w:val="false"/>
      <w:bidi w:val="0"/>
      <w:jc w:val="both"/>
    </w:pPr>
    <w:rPr>
      <w:rFonts w:ascii="游ゴシック Light" w:hAnsi="游ゴシック Light" w:eastAsia="游ゴシック Light" w:cs="Tahoma"/>
      <w:sz w:val="18"/>
      <w:szCs w:val="18"/>
    </w:rPr>
  </w:style>
  <w:style w:type="paragraph" w:styleId="Header">
    <w:name w:val="Header"/>
    <w:basedOn w:val="Normal"/>
    <w:pPr>
      <w:widowControl w:val="false"/>
      <w:tabs>
        <w:tab w:val="center" w:pos="4252" w:leader="none"/>
        <w:tab w:val="right" w:pos="8504" w:leader="none"/>
      </w:tabs>
      <w:bidi w:val="0"/>
      <w:snapToGrid w:val="false"/>
      <w:jc w:val="both"/>
    </w:pPr>
    <w:rPr/>
  </w:style>
  <w:style w:type="paragraph" w:styleId="Footer">
    <w:name w:val="Footer"/>
    <w:basedOn w:val="Normal"/>
    <w:pPr>
      <w:widowControl w:val="false"/>
      <w:tabs>
        <w:tab w:val="center" w:pos="4252" w:leader="none"/>
        <w:tab w:val="right" w:pos="8504" w:leader="none"/>
      </w:tabs>
      <w:bidi w:val="0"/>
      <w:snapToGrid w:val="false"/>
      <w:jc w:val="both"/>
    </w:pPr>
    <w:rPr/>
  </w:style>
  <w:style w:type="paragraph" w:styleId="FrameContents">
    <w:name w:val="Frame Contents"/>
    <w:basedOn w:val="Normal"/>
    <w:qFormat/>
    <w:pPr>
      <w:widowControl w:val="false"/>
      <w:bidi w:val="0"/>
      <w:jc w:val="both"/>
    </w:pPr>
    <w:rPr/>
  </w:style>
  <w:style w:type="numbering" w:styleId="NoList">
    <w:name w:val="No List"/>
    <w:qFormat/>
  </w:style>
</w:styles>
</file>

<file path=word/_rels/document.xml.rels>&#65279;<?xml version="1.0" encoding="UTF-8"?><Relationships xmlns="http://schemas.openxmlformats.org/package/2006/relationships"><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392</TotalTime>
  <Application/>
  <Pages>1</Pages>
  <Words>790</Words>
  <Characters>798</Characters>
  <CharactersWithSpaces>807</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2019-06-04T05:04:00Z</dcterms:created>
  <dc:creator>花屋　良幸</dc:creator>
  <dc:description/>
  <dc:language>en-US</dc:language>
  <cp:lastModifiedBy>福山　知行</cp:lastModifiedBy>
  <cp:lastPrinted>2024-08-30T08:28:00Z</cp:lastPrinted>
  <dcterms:modified xsi:type="dcterms:W3CDTF">2026-08-20T04:43:00Z</dcterms:modified>
  <cp:revision>47</cp:revision>
  <dc:subject/>
  <dc:title/>
</cp:coreProperties>
</file>