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ＭＳ 明朝" w:hAnsi="ＭＳ 明朝" w:eastAsia="ＭＳ 明朝"/>
          <w:sz w:val="24"/>
          <w:szCs w:val="24"/>
        </w:rPr>
      </w:pPr>
      <w:r>
        <w:rPr>
          <w:rFonts w:ascii="ＭＳ 明朝" w:hAnsi="ＭＳ 明朝" w:eastAsia="ＭＳ 明朝"/>
          <w:sz w:val="24"/>
          <w:szCs w:val="24"/>
        </w:rPr>
        <w:t>　　年　　月　　日</w:t>
      </w:r>
    </w:p>
    <w:p>
      <w:pPr>
        <w:pStyle w:val="Normal"/>
        <w:rPr>
          <w:rFonts w:ascii="ＭＳ 明朝" w:hAnsi="ＭＳ 明朝" w:eastAsia="ＭＳ 明朝"/>
          <w:sz w:val="24"/>
          <w:szCs w:val="24"/>
        </w:rPr>
      </w:pPr>
      <w:r>
        <w:rPr>
          <w:rFonts w:eastAsia="ＭＳ 明朝" w:ascii="ＭＳ 明朝" w:hAnsi="ＭＳ 明朝"/>
          <w:sz w:val="24"/>
          <w:szCs w:val="24"/>
        </w:rPr>
        <w:t xml:space="preserve"> </w:t>
      </w:r>
      <w:r>
        <w:rPr>
          <w:rFonts w:ascii="ＭＳ 明朝" w:hAnsi="ＭＳ 明朝" w:eastAsia="ＭＳ 明朝"/>
          <w:sz w:val="24"/>
          <w:szCs w:val="24"/>
        </w:rPr>
        <w:t>　山陽小野田市長　様</w:t>
      </w:r>
    </w:p>
    <w:p>
      <w:pPr>
        <w:pStyle w:val="Normal"/>
        <w:ind w:left="0" w:right="576" w:firstLine="4194"/>
        <w:rPr>
          <w:rFonts w:ascii="ＭＳ 明朝" w:hAnsi="ＭＳ 明朝" w:eastAsia="ＭＳ 明朝"/>
          <w:sz w:val="24"/>
          <w:szCs w:val="24"/>
        </w:rPr>
      </w:pPr>
      <w:r>
        <w:rPr>
          <w:rFonts w:eastAsia="ＭＳ 明朝" w:ascii="ＭＳ 明朝" w:hAnsi="ＭＳ 明朝"/>
          <w:sz w:val="24"/>
          <w:szCs w:val="24"/>
        </w:rPr>
      </w:r>
    </w:p>
    <w:p>
      <w:pPr>
        <w:pStyle w:val="Normal"/>
        <w:ind w:left="0" w:right="576" w:firstLine="4194"/>
        <w:rPr>
          <w:rFonts w:ascii="ＭＳ 明朝" w:hAnsi="ＭＳ 明朝" w:eastAsia="ＭＳ 明朝"/>
          <w:sz w:val="24"/>
          <w:szCs w:val="24"/>
        </w:rPr>
      </w:pPr>
      <w:r>
        <w:rPr>
          <w:rFonts w:ascii="ＭＳ 明朝" w:hAnsi="ＭＳ 明朝" w:eastAsia="ＭＳ 明朝"/>
          <w:sz w:val="24"/>
          <w:szCs w:val="24"/>
        </w:rPr>
        <w:t xml:space="preserve">所 在 地 </w:t>
      </w:r>
    </w:p>
    <w:p>
      <w:pPr>
        <w:pStyle w:val="Normal"/>
        <w:ind w:left="0" w:right="576" w:firstLine="4194"/>
        <w:rPr>
          <w:rFonts w:ascii="ＭＳ 明朝" w:hAnsi="ＭＳ 明朝" w:eastAsia="ＭＳ 明朝"/>
          <w:sz w:val="24"/>
          <w:szCs w:val="24"/>
        </w:rPr>
      </w:pPr>
      <w:r>
        <w:rPr>
          <w:rFonts w:ascii="ＭＳ 明朝" w:hAnsi="ＭＳ 明朝" w:eastAsia="ＭＳ 明朝"/>
          <w:sz w:val="24"/>
          <w:szCs w:val="24"/>
        </w:rPr>
        <w:t xml:space="preserve">名　　称 </w:t>
      </w:r>
    </w:p>
    <w:p>
      <w:pPr>
        <w:pStyle w:val="Normal"/>
        <w:ind w:left="0" w:right="576" w:firstLine="4194"/>
        <w:rPr>
          <w:rFonts w:ascii="ＭＳ 明朝" w:hAnsi="ＭＳ 明朝" w:eastAsia="ＭＳ 明朝"/>
          <w:sz w:val="24"/>
          <w:szCs w:val="24"/>
        </w:rPr>
      </w:pPr>
      <w:r>
        <w:rPr>
          <w:rFonts w:ascii="ＭＳ 明朝" w:hAnsi="ＭＳ 明朝" w:eastAsia="ＭＳ 明朝"/>
          <w:sz w:val="24"/>
          <w:szCs w:val="24"/>
        </w:rPr>
        <w:t xml:space="preserve">代表者名 </w:t>
      </w:r>
    </w:p>
    <w:p>
      <w:pPr>
        <w:pStyle w:val="Normal"/>
        <w:ind w:left="0" w:right="0" w:firstLine="8141"/>
        <w:rPr>
          <w:rFonts w:ascii="ＭＳ 明朝" w:hAnsi="ＭＳ 明朝" w:eastAsia="ＭＳ 明朝"/>
          <w:sz w:val="24"/>
          <w:szCs w:val="24"/>
        </w:rPr>
      </w:pPr>
      <w:r>
        <w:rPr>
          <w:rFonts w:ascii="ＭＳ 明朝" w:hAnsi="ＭＳ 明朝" w:eastAsia="ＭＳ 明朝"/>
          <w:sz w:val="24"/>
          <w:szCs w:val="24"/>
        </w:rPr>
        <w:t>（押印不要）</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32"/>
          <w:szCs w:val="32"/>
        </w:rPr>
      </w:pPr>
      <w:r>
        <w:rPr>
          <w:rFonts w:ascii="ＭＳ 明朝" w:hAnsi="ＭＳ 明朝" w:eastAsia="ＭＳ 明朝"/>
          <w:sz w:val="32"/>
          <w:szCs w:val="32"/>
        </w:rPr>
        <w:t>通  知  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left="0" w:right="0" w:firstLine="247"/>
        <w:rPr>
          <w:rFonts w:ascii="ＭＳ 明朝" w:hAnsi="ＭＳ 明朝" w:eastAsia="ＭＳ 明朝"/>
          <w:sz w:val="24"/>
          <w:szCs w:val="24"/>
        </w:rPr>
      </w:pPr>
      <w:r>
        <w:rPr>
          <w:rFonts w:ascii="ＭＳ 明朝" w:hAnsi="ＭＳ 明朝" w:eastAsia="ＭＳ 明朝"/>
          <w:sz w:val="24"/>
          <w:szCs w:val="24"/>
        </w:rPr>
        <w:t>下記のとおり、建設業法第２０条の２第２項に基づき、発生するおそれがあると認める工期又は請負代金の額に影響を及ぼす事象に関する情報を通知します。</w:t>
      </w:r>
    </w:p>
    <w:p>
      <w:pPr>
        <w:pStyle w:val="Normal"/>
        <w:ind w:left="0" w:right="0" w:firstLine="247"/>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記</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left="0" w:right="0" w:firstLine="247"/>
        <w:rPr>
          <w:rFonts w:ascii="ＭＳ 明朝" w:hAnsi="ＭＳ 明朝" w:eastAsia="ＭＳ 明朝"/>
          <w:sz w:val="28"/>
          <w:szCs w:val="28"/>
        </w:rPr>
      </w:pPr>
      <w:r>
        <mc:AlternateContent>
          <mc:Choice Requires="wps">
            <w:drawing>
              <wp:anchor behindDoc="0" distT="0" distB="0" distL="114300" distR="114300" simplePos="0" locked="0" layoutInCell="1" allowOverlap="1" relativeHeight="2">
                <wp:simplePos x="0" y="0"/>
                <wp:positionH relativeFrom="column">
                  <wp:posOffset>155575</wp:posOffset>
                </wp:positionH>
                <wp:positionV relativeFrom="paragraph">
                  <wp:posOffset>240665</wp:posOffset>
                </wp:positionV>
                <wp:extent cx="5965190" cy="635"/>
                <wp:effectExtent l="0" t="0" r="0" b="0"/>
                <wp:wrapNone/>
                <wp:docPr id="1" name="直線コネクタ 1"/>
                <a:graphic xmlns:a="http://schemas.openxmlformats.org/drawingml/2006/main">
                  <a:graphicData uri="http://schemas.microsoft.com/office/word/2010/wordprocessingShape">
                    <wps:wsp>
                      <wps:cNvSpPr/>
                      <wps:spPr>
                        <a:xfrm>
                          <a:off x="0" y="0"/>
                          <a:ext cx="59644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2.25pt,18.95pt" to="481.85pt,18.95pt" ID="直線コネクタ 1" stroked="t" style="position:absolute">
                <v:stroke color="black" weight="6480" joinstyle="miter" endcap="flat"/>
                <v:fill o:detectmouseclick="t" on="false"/>
              </v:line>
            </w:pict>
          </mc:Fallback>
        </mc:AlternateContent>
      </w:r>
      <w:r>
        <w:rPr>
          <w:rFonts w:ascii="ＭＳ 明朝" w:hAnsi="ＭＳ 明朝" w:eastAsia="ＭＳ 明朝"/>
          <w:sz w:val="28"/>
          <w:szCs w:val="28"/>
        </w:rPr>
        <w:t>工事名：　　　 　　　　　　　　　　　　　　　　　　　　　　　　</w:t>
      </w:r>
    </w:p>
    <w:p>
      <w:pPr>
        <w:pStyle w:val="Normal"/>
        <w:ind w:left="0" w:right="0" w:firstLine="247"/>
        <w:rPr>
          <w:rFonts w:ascii="ＭＳ 明朝" w:hAnsi="ＭＳ 明朝" w:eastAsia="ＭＳ 明朝"/>
          <w:sz w:val="24"/>
          <w:szCs w:val="24"/>
        </w:rPr>
      </w:pPr>
      <w:r>
        <w:rPr>
          <w:rFonts w:eastAsia="ＭＳ 明朝" w:ascii="ＭＳ 明朝" w:hAnsi="ＭＳ 明朝"/>
          <w:sz w:val="24"/>
          <w:szCs w:val="24"/>
        </w:rPr>
      </w:r>
    </w:p>
    <w:p>
      <w:pPr>
        <w:pStyle w:val="Normal"/>
        <w:ind w:left="0" w:right="0" w:firstLine="247"/>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主要な資機材の供給の不足もしくは遅延または資機材の価格の高騰</w:t>
      </w:r>
    </w:p>
    <w:p>
      <w:pPr>
        <w:pStyle w:val="Normal"/>
        <w:ind w:left="0" w:right="0" w:firstLine="3207"/>
        <w:rPr>
          <w:rFonts w:ascii="ＭＳ 明朝" w:hAnsi="ＭＳ 明朝" w:eastAsia="ＭＳ 明朝"/>
          <w:sz w:val="24"/>
          <w:szCs w:val="24"/>
        </w:rPr>
      </w:pPr>
      <w:r>
        <w:rPr>
          <w:rFonts w:eastAsia="ＭＳ 明朝" w:ascii="ＭＳ 明朝" w:hAnsi="ＭＳ 明朝"/>
          <w:sz w:val="24"/>
          <w:szCs w:val="24"/>
        </w:rPr>
        <w:t xml:space="preserve"> </w:t>
      </w:r>
      <w:r>
        <w:rPr>
          <w:rFonts w:ascii="ＭＳ 明朝" w:hAnsi="ＭＳ 明朝" w:eastAsia="ＭＳ 明朝"/>
          <w:sz w:val="24"/>
          <w:szCs w:val="24"/>
        </w:rPr>
        <w:t>　　（建設業法施行規則第１３条の１４第２項第１号）</w:t>
      </w:r>
    </w:p>
    <w:p>
      <w:pPr>
        <w:pStyle w:val="Normal"/>
        <w:ind w:left="0" w:right="0" w:firstLine="247"/>
        <w:rPr/>
      </w:pPr>
      <w:r>
        <w:rPr>
          <w:rFonts w:ascii="ＭＳ 明朝" w:hAnsi="ＭＳ 明朝" w:eastAsia="ＭＳ 明朝"/>
          <w:sz w:val="24"/>
          <w:szCs w:val="24"/>
        </w:rPr>
        <w:t>発生するおそれのある事象</w:t>
      </w:r>
      <w:r>
        <w:rPr>
          <w:rFonts w:ascii="ＭＳ 明朝" w:hAnsi="ＭＳ 明朝" w:eastAsia="ＭＳ 明朝"/>
          <w:sz w:val="24"/>
          <w:szCs w:val="24"/>
          <w:vertAlign w:val="superscript"/>
        </w:rPr>
        <w:t>※</w:t>
      </w:r>
      <w:r>
        <w:rPr>
          <w:rFonts w:ascii="ＭＳ 明朝" w:hAnsi="ＭＳ 明朝" w:eastAsia="ＭＳ 明朝"/>
          <w:sz w:val="24"/>
          <w:szCs w:val="24"/>
        </w:rPr>
        <w:t>：</w:t>
      </w:r>
    </w:p>
    <w:p>
      <w:pPr>
        <w:pStyle w:val="Normal"/>
        <w:ind w:left="0" w:right="0" w:firstLine="247"/>
        <w:rPr/>
      </w:pPr>
      <w:r>
        <mc:AlternateContent>
          <mc:Choice Requires="wps">
            <w:drawing>
              <wp:anchor behindDoc="0" distT="0" distB="0" distL="114300" distR="114300" simplePos="0" locked="0" layoutInCell="1" allowOverlap="1" relativeHeight="3">
                <wp:simplePos x="0" y="0"/>
                <wp:positionH relativeFrom="margin">
                  <wp:align>center</wp:align>
                </wp:positionH>
                <wp:positionV relativeFrom="paragraph">
                  <wp:posOffset>241300</wp:posOffset>
                </wp:positionV>
                <wp:extent cx="5965190" cy="635"/>
                <wp:effectExtent l="0" t="0" r="0" b="0"/>
                <wp:wrapNone/>
                <wp:docPr id="2" name="直線コネクタ 1"/>
                <a:graphic xmlns:a="http://schemas.openxmlformats.org/drawingml/2006/main">
                  <a:graphicData uri="http://schemas.microsoft.com/office/word/2010/wordprocessingShape">
                    <wps:wsp>
                      <wps:cNvSpPr/>
                      <wps:spPr>
                        <a:xfrm>
                          <a:off x="0" y="0"/>
                          <a:ext cx="59644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8.95pt,19pt" to="478.55pt,19pt" ID="直線コネクタ 1" stroked="t" style="position:absolute;mso-position-horizontal:center;mso-position-horizontal-relative:margin">
                <v:stroke color="black" weight="6480" joinstyle="miter" endcap="flat"/>
                <v:fill o:detectmouseclick="t" on="false"/>
              </v:line>
            </w:pict>
          </mc:Fallback>
        </mc:AlternateContent>
      </w:r>
      <w:r>
        <w:rPr>
          <w:rFonts w:ascii="ＭＳ 明朝" w:hAnsi="ＭＳ 明朝" w:eastAsia="ＭＳ 明朝"/>
          <w:szCs w:val="21"/>
        </w:rPr>
        <w:t>上記事象の状況の把握のため必要な情報の入手先</w:t>
      </w:r>
      <w:r>
        <w:rPr>
          <w:rFonts w:ascii="ＭＳ 明朝" w:hAnsi="ＭＳ 明朝" w:eastAsia="ＭＳ 明朝"/>
          <w:sz w:val="24"/>
          <w:szCs w:val="24"/>
        </w:rPr>
        <w:t>：　　　　　　　　　　　　　　　　　</w:t>
      </w:r>
    </w:p>
    <w:p>
      <w:pPr>
        <w:pStyle w:val="Normal"/>
        <w:ind w:left="464" w:right="0" w:hanging="247"/>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天災その他自然的又は人為的な事象により生じる発注者と受注者の双方の責めに帰することができないものを記載</w:t>
      </w:r>
    </w:p>
    <w:p>
      <w:pPr>
        <w:pStyle w:val="Normal"/>
        <w:ind w:left="0" w:right="0" w:firstLine="247"/>
        <w:rPr>
          <w:rFonts w:ascii="ＭＳ 明朝" w:hAnsi="ＭＳ 明朝" w:eastAsia="ＭＳ 明朝"/>
          <w:sz w:val="24"/>
          <w:szCs w:val="24"/>
        </w:rPr>
      </w:pPr>
      <w:r>
        <w:rPr>
          <w:rFonts w:eastAsia="ＭＳ 明朝" w:ascii="ＭＳ 明朝" w:hAnsi="ＭＳ 明朝"/>
          <w:sz w:val="24"/>
          <w:szCs w:val="24"/>
        </w:rPr>
      </w:r>
    </w:p>
    <w:p>
      <w:pPr>
        <w:pStyle w:val="Normal"/>
        <w:ind w:left="0" w:right="0" w:firstLine="247"/>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特定の建設工事の種類における労務の供給の不足又は価格の高騰</w:t>
      </w:r>
    </w:p>
    <w:p>
      <w:pPr>
        <w:pStyle w:val="Normal"/>
        <w:ind w:left="0" w:right="0" w:firstLine="3947"/>
        <w:rPr>
          <w:rFonts w:ascii="ＭＳ 明朝" w:hAnsi="ＭＳ 明朝" w:eastAsia="ＭＳ 明朝"/>
          <w:sz w:val="24"/>
          <w:szCs w:val="24"/>
        </w:rPr>
      </w:pPr>
      <w:r>
        <w:rPr>
          <w:rFonts w:ascii="ＭＳ 明朝" w:hAnsi="ＭＳ 明朝" w:eastAsia="ＭＳ 明朝"/>
          <w:sz w:val="24"/>
          <w:szCs w:val="24"/>
        </w:rPr>
        <w:t>（建設業法施行規則第１３条の１４第２項第２号）</w:t>
      </w:r>
    </w:p>
    <w:p>
      <w:pPr>
        <w:pStyle w:val="Normal"/>
        <w:ind w:left="0" w:right="0" w:firstLine="247"/>
        <w:rPr/>
      </w:pPr>
      <w:r>
        <w:rPr>
          <w:rFonts w:ascii="ＭＳ 明朝" w:hAnsi="ＭＳ 明朝" w:eastAsia="ＭＳ 明朝"/>
          <w:sz w:val="24"/>
          <w:szCs w:val="24"/>
        </w:rPr>
        <w:t>発生するおそれのある事象</w:t>
      </w:r>
      <w:r>
        <w:rPr>
          <w:rFonts w:ascii="ＭＳ 明朝" w:hAnsi="ＭＳ 明朝" w:eastAsia="ＭＳ 明朝"/>
          <w:sz w:val="24"/>
          <w:szCs w:val="24"/>
          <w:vertAlign w:val="superscript"/>
        </w:rPr>
        <w:t>※</w:t>
      </w:r>
      <w:r>
        <w:rPr>
          <w:rFonts w:ascii="ＭＳ 明朝" w:hAnsi="ＭＳ 明朝" w:eastAsia="ＭＳ 明朝"/>
          <w:sz w:val="24"/>
          <w:szCs w:val="24"/>
        </w:rPr>
        <w:t>：</w:t>
      </w:r>
    </w:p>
    <w:p>
      <w:pPr>
        <w:pStyle w:val="Normal"/>
        <w:ind w:left="0" w:right="0" w:firstLine="247"/>
        <w:rPr/>
      </w:pPr>
      <w:r>
        <mc:AlternateContent>
          <mc:Choice Requires="wps">
            <w:drawing>
              <wp:anchor behindDoc="0" distT="0" distB="0" distL="114300" distR="114300" simplePos="0" locked="0" layoutInCell="1" allowOverlap="1" relativeHeight="4">
                <wp:simplePos x="0" y="0"/>
                <wp:positionH relativeFrom="column">
                  <wp:posOffset>138430</wp:posOffset>
                </wp:positionH>
                <wp:positionV relativeFrom="paragraph">
                  <wp:posOffset>252095</wp:posOffset>
                </wp:positionV>
                <wp:extent cx="5965190" cy="635"/>
                <wp:effectExtent l="0" t="0" r="0" b="0"/>
                <wp:wrapNone/>
                <wp:docPr id="3" name="直線コネクタ 1"/>
                <a:graphic xmlns:a="http://schemas.openxmlformats.org/drawingml/2006/main">
                  <a:graphicData uri="http://schemas.microsoft.com/office/word/2010/wordprocessingShape">
                    <wps:wsp>
                      <wps:cNvSpPr/>
                      <wps:spPr>
                        <a:xfrm>
                          <a:off x="0" y="0"/>
                          <a:ext cx="59644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0.9pt,19.85pt" to="480.5pt,19.85pt" ID="直線コネクタ 1" stroked="t" style="position:absolute">
                <v:stroke color="black" weight="6480" joinstyle="miter" endcap="flat"/>
                <v:fill o:detectmouseclick="t" on="false"/>
              </v:line>
            </w:pict>
          </mc:Fallback>
        </mc:AlternateContent>
      </w:r>
      <w:r>
        <w:rPr>
          <w:rFonts w:ascii="ＭＳ 明朝" w:hAnsi="ＭＳ 明朝" w:eastAsia="ＭＳ 明朝"/>
          <w:szCs w:val="21"/>
        </w:rPr>
        <w:t>上記事象の状況の把握のため必要な情報の入手先</w:t>
      </w:r>
      <w:r>
        <w:rPr>
          <w:rFonts w:ascii="ＭＳ 明朝" w:hAnsi="ＭＳ 明朝" w:eastAsia="ＭＳ 明朝"/>
          <w:sz w:val="24"/>
          <w:szCs w:val="24"/>
        </w:rPr>
        <w:t>：　　　　　　　　　　　　　　　　　</w:t>
      </w:r>
    </w:p>
    <w:p>
      <w:pPr>
        <w:pStyle w:val="Normal"/>
        <w:ind w:left="464" w:right="0" w:hanging="247"/>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天災その他自然的又は人為的な事象により生じる発注者と受注者の双方の責めに帰することができないものを記載</w:t>
      </w:r>
    </w:p>
    <w:p>
      <w:pPr>
        <w:pStyle w:val="Closing"/>
        <w:rPr>
          <w:rFonts w:ascii="ＭＳ 明朝" w:hAnsi="ＭＳ 明朝" w:eastAsia="ＭＳ 明朝"/>
        </w:rPr>
      </w:pPr>
      <w:r>
        <w:rPr>
          <w:rFonts w:ascii="ＭＳ 明朝" w:hAnsi="ＭＳ 明朝" w:eastAsia="ＭＳ 明朝"/>
        </w:rPr>
        <w:t xml:space="preserve">以上 </w:t>
      </w:r>
    </w:p>
    <w:p>
      <w:pPr>
        <w:pStyle w:val="Normal"/>
        <w:rPr/>
      </w:pPr>
      <w:r>
        <w:rPr>
          <w:rFonts w:ascii="ＭＳ 明朝" w:hAnsi="ＭＳ 明朝" w:eastAsia="ＭＳ 明朝"/>
          <w:szCs w:val="21"/>
        </w:rPr>
        <w:t>その他連絡事項（空欄可）</w:t>
      </w:r>
      <w:r>
        <w:rPr>
          <w:rFonts w:ascii="ＭＳ 明朝" w:hAnsi="ＭＳ 明朝" w:eastAsia="ＭＳ 明朝"/>
          <w:sz w:val="20"/>
          <w:szCs w:val="20"/>
        </w:rPr>
        <w:t>（自由記述：上記のほか工期等に影響を与えることが想定される情報等）</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mc:AlternateContent>
          <mc:Choice Requires="wps">
            <w:drawing>
              <wp:anchor behindDoc="0" distT="0" distB="0" distL="114300" distR="114300" simplePos="0" locked="0" layoutInCell="1" allowOverlap="1" relativeHeight="5">
                <wp:simplePos x="0" y="0"/>
                <wp:positionH relativeFrom="column">
                  <wp:posOffset>73660</wp:posOffset>
                </wp:positionH>
                <wp:positionV relativeFrom="paragraph">
                  <wp:posOffset>158750</wp:posOffset>
                </wp:positionV>
                <wp:extent cx="5965190" cy="635"/>
                <wp:effectExtent l="0" t="0" r="0" b="0"/>
                <wp:wrapNone/>
                <wp:docPr id="4" name="直線コネクタ 1"/>
                <a:graphic xmlns:a="http://schemas.openxmlformats.org/drawingml/2006/main">
                  <a:graphicData uri="http://schemas.microsoft.com/office/word/2010/wordprocessingShape">
                    <wps:wsp>
                      <wps:cNvSpPr/>
                      <wps:spPr>
                        <a:xfrm>
                          <a:off x="0" y="0"/>
                          <a:ext cx="59644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5.8pt,12.5pt" to="475.4pt,12.5pt" ID="直線コネクタ 1" stroked="t" style="position:absolute">
                <v:stroke color="black" weight="6480" joinstyle="miter" endcap="flat"/>
                <v:fill o:detectmouseclick="t" on="false"/>
              </v:line>
            </w:pict>
          </mc:Fallback>
        </mc:AlternateContent>
      </w:r>
    </w:p>
    <w:p>
      <w:pPr>
        <w:pStyle w:val="Normal"/>
        <w:rPr>
          <w:rFonts w:ascii="ＭＳ 明朝" w:hAnsi="ＭＳ 明朝" w:eastAsia="ＭＳ 明朝"/>
          <w:sz w:val="20"/>
          <w:szCs w:val="20"/>
        </w:rPr>
      </w:pPr>
      <w:r>
        <w:rPr>
          <w:rFonts w:ascii="ＭＳ 明朝" w:hAnsi="ＭＳ 明朝" w:eastAsia="ＭＳ 明朝"/>
          <w:sz w:val="20"/>
          <w:szCs w:val="20"/>
        </w:rPr>
        <w:t>　　　　　　　　　　　　　　　　　　　　　　　　　　　　　　　　　　　　　　　　　　　　　　</w:t>
      </w:r>
    </w:p>
    <w:p>
      <w:pPr>
        <w:pStyle w:val="Normal"/>
        <w:rPr>
          <w:rFonts w:ascii="ＭＳ 明朝" w:hAnsi="ＭＳ 明朝" w:eastAsia="ＭＳ 明朝"/>
          <w:sz w:val="22"/>
        </w:rPr>
      </w:pPr>
      <w:r>
        <w:rPr>
          <w:rFonts w:ascii="ＭＳ 明朝" w:hAnsi="ＭＳ 明朝" w:eastAsia="ＭＳ 明朝"/>
          <w:sz w:val="22"/>
        </w:rPr>
        <w:t>（注）１</w:t>
      </w:r>
      <w:r>
        <w:rPr>
          <w:rFonts w:eastAsia="ＭＳ 明朝" w:ascii="ＭＳ 明朝" w:hAnsi="ＭＳ 明朝"/>
          <w:sz w:val="22"/>
        </w:rPr>
        <w:t>.</w:t>
      </w:r>
      <w:r>
        <w:rPr>
          <w:rFonts w:ascii="ＭＳ 明朝" w:hAnsi="ＭＳ 明朝" w:eastAsia="ＭＳ 明朝"/>
          <w:sz w:val="22"/>
        </w:rPr>
        <w:t>本通知書については、建設業法施行規則第１３条の１４第２項に規定する事象が発生</w:t>
      </w:r>
    </w:p>
    <w:p>
      <w:pPr>
        <w:pStyle w:val="Normal"/>
        <w:ind w:left="0" w:right="0" w:firstLine="907"/>
        <w:rPr>
          <w:rFonts w:ascii="ＭＳ 明朝" w:hAnsi="ＭＳ 明朝" w:eastAsia="ＭＳ 明朝"/>
          <w:sz w:val="22"/>
        </w:rPr>
      </w:pPr>
      <w:r>
        <w:rPr>
          <w:rFonts w:ascii="ＭＳ 明朝" w:hAnsi="ＭＳ 明朝" w:eastAsia="ＭＳ 明朝"/>
          <w:sz w:val="22"/>
        </w:rPr>
        <w:t>するおそれがあると認めるときに提出するものであり、当該事象の発生するおそれが</w:t>
      </w:r>
    </w:p>
    <w:p>
      <w:pPr>
        <w:pStyle w:val="Normal"/>
        <w:ind w:left="0" w:right="0" w:firstLine="907"/>
        <w:rPr>
          <w:rFonts w:ascii="ＭＳ 明朝" w:hAnsi="ＭＳ 明朝" w:eastAsia="ＭＳ 明朝"/>
          <w:sz w:val="22"/>
        </w:rPr>
      </w:pPr>
      <w:r>
        <w:rPr>
          <w:rFonts w:ascii="ＭＳ 明朝" w:hAnsi="ＭＳ 明朝" w:eastAsia="ＭＳ 明朝"/>
          <w:sz w:val="22"/>
        </w:rPr>
        <w:t xml:space="preserve">認められない場合は、提出を求めるものではありません。 </w:t>
      </w:r>
    </w:p>
    <w:p>
      <w:pPr>
        <w:pStyle w:val="Normal"/>
        <w:ind w:left="0" w:right="0" w:firstLine="680"/>
        <w:rPr>
          <w:rFonts w:ascii="ＭＳ 明朝" w:hAnsi="ＭＳ 明朝" w:eastAsia="ＭＳ 明朝"/>
          <w:sz w:val="22"/>
        </w:rPr>
      </w:pPr>
      <w:r>
        <w:rPr>
          <w:rFonts w:eastAsia="ＭＳ 明朝" w:ascii="ＭＳ 明朝" w:hAnsi="ＭＳ 明朝"/>
          <w:sz w:val="22"/>
        </w:rPr>
      </w:r>
    </w:p>
    <w:p>
      <w:pPr>
        <w:pStyle w:val="Normal"/>
        <w:ind w:left="0" w:right="0" w:firstLine="680"/>
        <w:rPr>
          <w:rFonts w:ascii="ＭＳ 明朝" w:hAnsi="ＭＳ 明朝" w:eastAsia="ＭＳ 明朝"/>
          <w:sz w:val="22"/>
        </w:rPr>
      </w:pPr>
      <w:r>
        <w:rPr>
          <w:rFonts w:ascii="ＭＳ 明朝" w:hAnsi="ＭＳ 明朝" w:eastAsia="ＭＳ 明朝"/>
          <w:sz w:val="22"/>
        </w:rPr>
        <w:t>２．本通知書を提出する場合は、落札決定（随意契約の場合にあっては、契約の相手方</w:t>
      </w:r>
    </w:p>
    <w:p>
      <w:pPr>
        <w:pStyle w:val="Normal"/>
        <w:ind w:left="0" w:right="0" w:firstLine="907"/>
        <w:rPr>
          <w:rFonts w:ascii="ＭＳ 明朝" w:hAnsi="ＭＳ 明朝" w:eastAsia="ＭＳ 明朝"/>
          <w:sz w:val="22"/>
        </w:rPr>
      </w:pPr>
      <w:r>
        <w:rPr>
          <w:rFonts w:ascii="ＭＳ 明朝" w:hAnsi="ＭＳ 明朝" w:eastAsia="ＭＳ 明朝"/>
          <w:sz w:val="22"/>
        </w:rPr>
        <w:t>の決定）から契約締結（議会の議決に付するべき契約については仮契約の締結）まで</w:t>
      </w:r>
    </w:p>
    <w:p>
      <w:pPr>
        <w:pStyle w:val="Normal"/>
        <w:ind w:left="0" w:right="0" w:firstLine="907"/>
        <w:rPr>
          <w:rFonts w:ascii="ＭＳ 明朝" w:hAnsi="ＭＳ 明朝" w:eastAsia="ＭＳ 明朝"/>
          <w:sz w:val="22"/>
        </w:rPr>
      </w:pPr>
      <w:r>
        <w:rPr>
          <w:rFonts w:ascii="ＭＳ 明朝" w:hAnsi="ＭＳ 明朝" w:eastAsia="ＭＳ 明朝"/>
          <w:sz w:val="22"/>
        </w:rPr>
        <w:t>に提出するものとします。</w:t>
      </w:r>
    </w:p>
    <w:p>
      <w:pPr>
        <w:pStyle w:val="Normal"/>
        <w:ind w:left="877" w:right="0" w:hanging="227"/>
        <w:rPr>
          <w:rFonts w:ascii="ＭＳ 明朝" w:hAnsi="ＭＳ 明朝" w:eastAsia="ＭＳ 明朝"/>
          <w:sz w:val="22"/>
        </w:rPr>
      </w:pPr>
      <w:r>
        <w:rPr>
          <w:rFonts w:eastAsia="ＭＳ 明朝" w:ascii="ＭＳ 明朝" w:hAnsi="ＭＳ 明朝"/>
          <w:sz w:val="22"/>
        </w:rPr>
      </w:r>
    </w:p>
    <w:p>
      <w:pPr>
        <w:pStyle w:val="Normal"/>
        <w:ind w:left="877" w:right="0" w:hanging="227"/>
        <w:rPr>
          <w:rFonts w:ascii="ＭＳ 明朝" w:hAnsi="ＭＳ 明朝" w:eastAsia="ＭＳ 明朝"/>
          <w:sz w:val="22"/>
        </w:rPr>
      </w:pPr>
      <w:r>
        <w:rPr>
          <w:rFonts w:ascii="ＭＳ 明朝" w:hAnsi="ＭＳ 明朝" w:eastAsia="ＭＳ 明朝"/>
          <w:sz w:val="22"/>
        </w:rPr>
        <w:t>３．「上記事象の状況の把握のため必要な情報の入手先」欄においては、受注予定者の通</w:t>
      </w:r>
    </w:p>
    <w:p>
      <w:pPr>
        <w:pStyle w:val="Normal"/>
        <w:ind w:left="867" w:right="0" w:hanging="0"/>
        <w:rPr>
          <w:rFonts w:ascii="ＭＳ 明朝" w:hAnsi="ＭＳ 明朝" w:eastAsia="ＭＳ 明朝"/>
          <w:sz w:val="22"/>
        </w:rPr>
      </w:pPr>
      <w:r>
        <w:rPr>
          <w:rFonts w:ascii="ＭＳ 明朝" w:hAnsi="ＭＳ 明朝" w:eastAsia="ＭＳ 明朝"/>
          <w:sz w:val="22"/>
        </w:rPr>
        <w:t>常の事業活動において把握でき、メディア記事、資材業者の記者発表あるいは公的主</w:t>
      </w:r>
    </w:p>
    <w:p>
      <w:pPr>
        <w:pStyle w:val="Normal"/>
        <w:ind w:left="867" w:right="0" w:hanging="0"/>
        <w:rPr>
          <w:rFonts w:ascii="ＭＳ 明朝" w:hAnsi="ＭＳ 明朝" w:eastAsia="ＭＳ 明朝"/>
          <w:sz w:val="22"/>
        </w:rPr>
      </w:pPr>
      <w:r>
        <w:rPr>
          <w:rFonts w:ascii="ＭＳ 明朝" w:hAnsi="ＭＳ 明朝" w:eastAsia="ＭＳ 明朝"/>
          <w:sz w:val="22"/>
        </w:rPr>
        <w:t>体や業界団体などにより作成・更新された一定の客観性を有する統計資料等に裏付け</w:t>
      </w:r>
    </w:p>
    <w:p>
      <w:pPr>
        <w:pStyle w:val="Normal"/>
        <w:ind w:left="867" w:right="0" w:hanging="0"/>
        <w:rPr>
          <w:rFonts w:ascii="ＭＳ 明朝" w:hAnsi="ＭＳ 明朝" w:eastAsia="ＭＳ 明朝"/>
          <w:sz w:val="22"/>
        </w:rPr>
      </w:pPr>
      <w:r>
        <w:rPr>
          <w:rFonts w:ascii="ＭＳ 明朝" w:hAnsi="ＭＳ 明朝" w:eastAsia="ＭＳ 明朝"/>
          <w:sz w:val="22"/>
        </w:rPr>
        <w:t>られた情報を用いてください（一の資材業者の口頭のみによる情報など、真偽を確認することが困難である情報は除かれることに留意してください。）。</w:t>
      </w:r>
    </w:p>
    <w:p>
      <w:pPr>
        <w:pStyle w:val="Normal"/>
        <w:ind w:left="0" w:right="0" w:firstLine="680"/>
        <w:rPr>
          <w:rFonts w:ascii="ＭＳ 明朝" w:hAnsi="ＭＳ 明朝" w:eastAsia="ＭＳ 明朝"/>
          <w:sz w:val="22"/>
        </w:rPr>
      </w:pPr>
      <w:r>
        <w:rPr>
          <w:rFonts w:eastAsia="ＭＳ 明朝" w:ascii="ＭＳ 明朝" w:hAnsi="ＭＳ 明朝"/>
          <w:sz w:val="22"/>
        </w:rPr>
      </w:r>
    </w:p>
    <w:p>
      <w:pPr>
        <w:pStyle w:val="Normal"/>
        <w:ind w:left="0" w:right="0" w:firstLine="680"/>
        <w:rPr>
          <w:rFonts w:ascii="ＭＳ 明朝" w:hAnsi="ＭＳ 明朝" w:eastAsia="ＭＳ 明朝"/>
          <w:sz w:val="22"/>
        </w:rPr>
      </w:pPr>
      <w:r>
        <w:rPr>
          <w:rFonts w:ascii="ＭＳ 明朝" w:hAnsi="ＭＳ 明朝" w:eastAsia="ＭＳ 明朝"/>
          <w:sz w:val="22"/>
        </w:rPr>
        <w:t>４．本通知書により通知した事象が契約締結後に顕在化した場合は、建設業法第２０条</w:t>
      </w:r>
    </w:p>
    <w:p>
      <w:pPr>
        <w:pStyle w:val="Normal"/>
        <w:ind w:left="0" w:right="0" w:firstLine="907"/>
        <w:rPr>
          <w:rFonts w:ascii="ＭＳ 明朝" w:hAnsi="ＭＳ 明朝" w:eastAsia="ＭＳ 明朝"/>
          <w:sz w:val="22"/>
        </w:rPr>
      </w:pPr>
      <w:r>
        <w:rPr>
          <w:rFonts w:ascii="ＭＳ 明朝" w:hAnsi="ＭＳ 明朝" w:eastAsia="ＭＳ 明朝"/>
          <w:sz w:val="22"/>
        </w:rPr>
        <w:t>の２第３項により、請負契約の変更についての協議を受注者から発注者に対して申し</w:t>
      </w:r>
    </w:p>
    <w:p>
      <w:pPr>
        <w:pStyle w:val="Normal"/>
        <w:ind w:left="0" w:right="0" w:firstLine="907"/>
        <w:rPr>
          <w:rFonts w:ascii="ＭＳ 明朝" w:hAnsi="ＭＳ 明朝" w:eastAsia="ＭＳ 明朝"/>
          <w:sz w:val="22"/>
        </w:rPr>
      </w:pPr>
      <w:r>
        <w:rPr>
          <w:rFonts w:ascii="ＭＳ 明朝" w:hAnsi="ＭＳ 明朝" w:eastAsia="ＭＳ 明朝"/>
          <w:sz w:val="22"/>
        </w:rPr>
        <w:t>出ることができますが、当該協議については、本件工事の請負契約の規定等（スライ</w:t>
      </w:r>
    </w:p>
    <w:p>
      <w:pPr>
        <w:pStyle w:val="Normal"/>
        <w:ind w:left="0" w:right="0" w:firstLine="907"/>
        <w:rPr>
          <w:rFonts w:ascii="ＭＳ 明朝" w:hAnsi="ＭＳ 明朝" w:eastAsia="ＭＳ 明朝"/>
          <w:sz w:val="22"/>
        </w:rPr>
      </w:pPr>
      <w:r>
        <w:rPr>
          <w:rFonts w:ascii="ＭＳ 明朝" w:hAnsi="ＭＳ 明朝" w:eastAsia="ＭＳ 明朝"/>
          <w:sz w:val="22"/>
        </w:rPr>
        <w:t>ド条項の運用基準等を含みます。）に基づき対応を行うものであることに留意してく</w:t>
      </w:r>
    </w:p>
    <w:p>
      <w:pPr>
        <w:pStyle w:val="Normal"/>
        <w:ind w:left="0" w:right="0" w:firstLine="907"/>
        <w:rPr>
          <w:rFonts w:ascii="ＭＳ 明朝" w:hAnsi="ＭＳ 明朝" w:eastAsia="ＭＳ 明朝"/>
          <w:sz w:val="22"/>
        </w:rPr>
      </w:pPr>
      <w:r>
        <w:rPr>
          <w:rFonts w:ascii="ＭＳ 明朝" w:hAnsi="ＭＳ 明朝" w:eastAsia="ＭＳ 明朝"/>
          <w:sz w:val="22"/>
        </w:rPr>
        <w:t>ださい。</w:t>
      </w:r>
    </w:p>
    <w:p>
      <w:pPr>
        <w:pStyle w:val="Normal"/>
        <w:ind w:left="0" w:right="0" w:firstLine="680"/>
        <w:rPr>
          <w:rFonts w:ascii="ＭＳ 明朝" w:hAnsi="ＭＳ 明朝" w:eastAsia="ＭＳ 明朝"/>
          <w:sz w:val="22"/>
        </w:rPr>
      </w:pPr>
      <w:r>
        <w:rPr>
          <w:rFonts w:eastAsia="ＭＳ 明朝" w:ascii="ＭＳ 明朝" w:hAnsi="ＭＳ 明朝"/>
          <w:sz w:val="22"/>
        </w:rPr>
      </w:r>
    </w:p>
    <w:p>
      <w:pPr>
        <w:pStyle w:val="Normal"/>
        <w:ind w:left="0" w:right="0" w:firstLine="680"/>
        <w:rPr>
          <w:rFonts w:ascii="ＭＳ 明朝" w:hAnsi="ＭＳ 明朝" w:eastAsia="ＭＳ 明朝"/>
          <w:sz w:val="22"/>
        </w:rPr>
      </w:pPr>
      <w:r>
        <w:rPr>
          <w:rFonts w:ascii="ＭＳ 明朝" w:hAnsi="ＭＳ 明朝" w:eastAsia="ＭＳ 明朝"/>
          <w:sz w:val="22"/>
        </w:rPr>
        <w:t>５．本通知書を提出していない場合であっても、請負契約の規定に基づき、請負契約の</w:t>
      </w:r>
    </w:p>
    <w:p>
      <w:pPr>
        <w:pStyle w:val="Normal"/>
        <w:ind w:left="0" w:right="0" w:firstLine="907"/>
        <w:rPr>
          <w:rFonts w:ascii="ＭＳ 明朝" w:hAnsi="ＭＳ 明朝" w:eastAsia="ＭＳ 明朝"/>
          <w:sz w:val="22"/>
        </w:rPr>
      </w:pPr>
      <w:r>
        <w:rPr>
          <w:rFonts w:ascii="ＭＳ 明朝" w:hAnsi="ＭＳ 明朝" w:eastAsia="ＭＳ 明朝"/>
          <w:sz w:val="22"/>
        </w:rPr>
        <w:t>変更について発注者に対して受注者から協議を申し出ることができます。</w:t>
      </w:r>
    </w:p>
    <w:sectPr>
      <w:type w:val="nextPage"/>
      <w:pgSz w:w="11906" w:h="16838"/>
      <w:pgMar w:left="1077" w:right="1077" w:header="0" w:top="1440" w:footer="0" w:bottom="1440" w:gutter="0"/>
      <w:pgNumType w:fmt="decimal"/>
      <w:formProt w:val="false"/>
      <w:textDirection w:val="lrTb"/>
      <w:docGrid w:type="linesAndChars" w:linePitch="39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paragraph" w:styleId="Heading1">
    <w:name w:val="Heading 1"/>
    <w:basedOn w:val="Normal"/>
    <w:qFormat/>
    <w:pPr>
      <w:keepNext/>
      <w:keepLines/>
      <w:widowControl w:val="false"/>
      <w:numPr>
        <w:ilvl w:val="0"/>
        <w:numId w:val="0"/>
      </w:numPr>
      <w:bidi w:val="0"/>
      <w:spacing w:before="280" w:after="80"/>
      <w:jc w:val="both"/>
      <w:outlineLvl w:val="0"/>
    </w:pPr>
    <w:rPr>
      <w:rFonts w:ascii="游ゴシック Light" w:hAnsi="游ゴシック Light" w:eastAsia="游ゴシック Light" w:cs="Tahoma"/>
      <w:color w:val="000000"/>
      <w:sz w:val="32"/>
      <w:szCs w:val="32"/>
    </w:rPr>
  </w:style>
  <w:style w:type="paragraph" w:styleId="Heading2">
    <w:name w:val="Heading 2"/>
    <w:basedOn w:val="Normal"/>
    <w:qFormat/>
    <w:pPr>
      <w:keepNext/>
      <w:keepLines/>
      <w:widowControl w:val="false"/>
      <w:numPr>
        <w:ilvl w:val="0"/>
        <w:numId w:val="0"/>
      </w:numPr>
      <w:bidi w:val="0"/>
      <w:spacing w:before="160" w:after="80"/>
      <w:jc w:val="both"/>
      <w:outlineLvl w:val="1"/>
    </w:pPr>
    <w:rPr>
      <w:rFonts w:ascii="游ゴシック Light" w:hAnsi="游ゴシック Light" w:eastAsia="游ゴシック Light" w:cs="Tahoma"/>
      <w:color w:val="000000"/>
      <w:sz w:val="28"/>
      <w:szCs w:val="28"/>
    </w:rPr>
  </w:style>
  <w:style w:type="paragraph" w:styleId="Heading3">
    <w:name w:val="Heading 3"/>
    <w:basedOn w:val="Normal"/>
    <w:qFormat/>
    <w:pPr>
      <w:keepNext/>
      <w:keepLines/>
      <w:widowControl w:val="false"/>
      <w:numPr>
        <w:ilvl w:val="0"/>
        <w:numId w:val="0"/>
      </w:numPr>
      <w:bidi w:val="0"/>
      <w:spacing w:before="160" w:after="80"/>
      <w:jc w:val="both"/>
      <w:outlineLvl w:val="2"/>
    </w:pPr>
    <w:rPr>
      <w:rFonts w:ascii="游ゴシック Light" w:hAnsi="游ゴシック Light" w:eastAsia="游ゴシック Light" w:cs="Tahoma"/>
      <w:color w:val="000000"/>
      <w:sz w:val="24"/>
      <w:szCs w:val="24"/>
    </w:rPr>
  </w:style>
  <w:style w:type="paragraph" w:styleId="Heading4">
    <w:name w:val="Heading 4"/>
    <w:basedOn w:val="Normal"/>
    <w:qFormat/>
    <w:pPr>
      <w:keepNext/>
      <w:keepLines/>
      <w:widowControl w:val="false"/>
      <w:numPr>
        <w:ilvl w:val="0"/>
        <w:numId w:val="0"/>
      </w:numPr>
      <w:bidi w:val="0"/>
      <w:spacing w:before="80" w:after="40"/>
      <w:jc w:val="both"/>
      <w:outlineLvl w:val="3"/>
    </w:pPr>
    <w:rPr>
      <w:rFonts w:ascii="游ゴシック Light" w:hAnsi="游ゴシック Light" w:eastAsia="游ゴシック Light" w:cs="Tahoma"/>
      <w:color w:val="000000"/>
    </w:rPr>
  </w:style>
  <w:style w:type="paragraph" w:styleId="Heading5">
    <w:name w:val="Heading 5"/>
    <w:basedOn w:val="Normal"/>
    <w:qFormat/>
    <w:pPr>
      <w:keepNext/>
      <w:keepLines/>
      <w:widowControl w:val="false"/>
      <w:numPr>
        <w:ilvl w:val="0"/>
        <w:numId w:val="0"/>
      </w:numPr>
      <w:bidi w:val="0"/>
      <w:spacing w:before="80" w:after="40"/>
      <w:ind w:left="100" w:right="0" w:hanging="0"/>
      <w:jc w:val="both"/>
      <w:outlineLvl w:val="4"/>
    </w:pPr>
    <w:rPr>
      <w:rFonts w:ascii="游ゴシック Light" w:hAnsi="游ゴシック Light" w:eastAsia="游ゴシック Light" w:cs="Tahoma"/>
      <w:color w:val="000000"/>
    </w:rPr>
  </w:style>
  <w:style w:type="paragraph" w:styleId="Heading6">
    <w:name w:val="Heading 6"/>
    <w:basedOn w:val="Normal"/>
    <w:qFormat/>
    <w:pPr>
      <w:keepNext/>
      <w:keepLines/>
      <w:widowControl w:val="false"/>
      <w:numPr>
        <w:ilvl w:val="0"/>
        <w:numId w:val="0"/>
      </w:numPr>
      <w:bidi w:val="0"/>
      <w:spacing w:before="80" w:after="40"/>
      <w:ind w:left="200" w:right="0" w:hanging="0"/>
      <w:jc w:val="both"/>
      <w:outlineLvl w:val="5"/>
    </w:pPr>
    <w:rPr>
      <w:rFonts w:ascii="游ゴシック Light" w:hAnsi="游ゴシック Light" w:eastAsia="游ゴシック Light" w:cs="Tahoma"/>
      <w:color w:val="000000"/>
    </w:rPr>
  </w:style>
  <w:style w:type="paragraph" w:styleId="Heading7">
    <w:name w:val="Heading 7"/>
    <w:basedOn w:val="Normal"/>
    <w:qFormat/>
    <w:pPr>
      <w:keepNext/>
      <w:keepLines/>
      <w:widowControl w:val="false"/>
      <w:numPr>
        <w:ilvl w:val="0"/>
        <w:numId w:val="0"/>
      </w:numPr>
      <w:bidi w:val="0"/>
      <w:spacing w:before="80" w:after="40"/>
      <w:ind w:left="300" w:right="0" w:hanging="0"/>
      <w:jc w:val="both"/>
      <w:outlineLvl w:val="6"/>
    </w:pPr>
    <w:rPr>
      <w:rFonts w:ascii="游ゴシック Light" w:hAnsi="游ゴシック Light" w:eastAsia="游ゴシック Light" w:cs="Tahoma"/>
      <w:color w:val="000000"/>
    </w:rPr>
  </w:style>
  <w:style w:type="paragraph" w:styleId="Heading8">
    <w:name w:val="Heading 8"/>
    <w:basedOn w:val="Normal"/>
    <w:qFormat/>
    <w:pPr>
      <w:keepNext/>
      <w:keepLines/>
      <w:widowControl w:val="false"/>
      <w:numPr>
        <w:ilvl w:val="0"/>
        <w:numId w:val="0"/>
      </w:numPr>
      <w:bidi w:val="0"/>
      <w:spacing w:before="80" w:after="40"/>
      <w:ind w:left="400" w:right="0" w:hanging="0"/>
      <w:jc w:val="both"/>
      <w:outlineLvl w:val="7"/>
    </w:pPr>
    <w:rPr>
      <w:rFonts w:ascii="游ゴシック Light" w:hAnsi="游ゴシック Light" w:eastAsia="游ゴシック Light" w:cs="Tahoma"/>
      <w:color w:val="000000"/>
    </w:rPr>
  </w:style>
  <w:style w:type="paragraph" w:styleId="Heading9">
    <w:name w:val="Heading 9"/>
    <w:basedOn w:val="Normal"/>
    <w:qFormat/>
    <w:pPr>
      <w:keepNext/>
      <w:keepLines/>
      <w:widowControl w:val="false"/>
      <w:numPr>
        <w:ilvl w:val="0"/>
        <w:numId w:val="0"/>
      </w:numPr>
      <w:bidi w:val="0"/>
      <w:spacing w:before="80" w:after="40"/>
      <w:ind w:left="500" w:right="0" w:hanging="0"/>
      <w:jc w:val="both"/>
      <w:outlineLvl w:val="8"/>
    </w:pPr>
    <w:rPr>
      <w:rFonts w:ascii="游ゴシック Light" w:hAnsi="游ゴシック Light" w:eastAsia="游ゴシック Light" w:cs="Tahoma"/>
      <w:color w:val="000000"/>
    </w:rPr>
  </w:style>
  <w:style w:type="character" w:styleId="DefaultParagraphFont">
    <w:name w:val="Default Paragraph Font"/>
    <w:qFormat/>
    <w:rPr/>
  </w:style>
  <w:style w:type="character" w:styleId="1">
    <w:name w:val="見出し 1 (文字)"/>
    <w:basedOn w:val="DefaultParagraphFont"/>
    <w:qFormat/>
    <w:rPr>
      <w:rFonts w:ascii="游ゴシック Light" w:hAnsi="游ゴシック Light" w:eastAsia="游ゴシック Light" w:cs="Tahoma"/>
      <w:color w:val="000000"/>
      <w:sz w:val="32"/>
      <w:szCs w:val="32"/>
    </w:rPr>
  </w:style>
  <w:style w:type="character" w:styleId="2">
    <w:name w:val="見出し 2 (文字)"/>
    <w:basedOn w:val="DefaultParagraphFont"/>
    <w:qFormat/>
    <w:rPr>
      <w:rFonts w:ascii="游ゴシック Light" w:hAnsi="游ゴシック Light" w:eastAsia="游ゴシック Light" w:cs="Tahoma"/>
      <w:color w:val="000000"/>
      <w:sz w:val="28"/>
      <w:szCs w:val="28"/>
    </w:rPr>
  </w:style>
  <w:style w:type="character" w:styleId="3">
    <w:name w:val="見出し 3 (文字)"/>
    <w:basedOn w:val="DefaultParagraphFont"/>
    <w:qFormat/>
    <w:rPr>
      <w:rFonts w:ascii="游ゴシック Light" w:hAnsi="游ゴシック Light" w:eastAsia="游ゴシック Light" w:cs="Tahoma"/>
      <w:color w:val="000000"/>
      <w:sz w:val="24"/>
      <w:szCs w:val="24"/>
    </w:rPr>
  </w:style>
  <w:style w:type="character" w:styleId="4">
    <w:name w:val="見出し 4 (文字)"/>
    <w:basedOn w:val="DefaultParagraphFont"/>
    <w:qFormat/>
    <w:rPr>
      <w:rFonts w:ascii="游ゴシック Light" w:hAnsi="游ゴシック Light" w:eastAsia="游ゴシック Light" w:cs="Tahoma"/>
      <w:color w:val="000000"/>
    </w:rPr>
  </w:style>
  <w:style w:type="character" w:styleId="5">
    <w:name w:val="見出し 5 (文字)"/>
    <w:basedOn w:val="DefaultParagraphFont"/>
    <w:qFormat/>
    <w:rPr>
      <w:rFonts w:ascii="游ゴシック Light" w:hAnsi="游ゴシック Light" w:eastAsia="游ゴシック Light" w:cs="Tahoma"/>
      <w:color w:val="000000"/>
    </w:rPr>
  </w:style>
  <w:style w:type="character" w:styleId="6">
    <w:name w:val="見出し 6 (文字)"/>
    <w:basedOn w:val="DefaultParagraphFont"/>
    <w:qFormat/>
    <w:rPr>
      <w:rFonts w:ascii="游ゴシック Light" w:hAnsi="游ゴシック Light" w:eastAsia="游ゴシック Light" w:cs="Tahoma"/>
      <w:color w:val="000000"/>
    </w:rPr>
  </w:style>
  <w:style w:type="character" w:styleId="7">
    <w:name w:val="見出し 7 (文字)"/>
    <w:basedOn w:val="DefaultParagraphFont"/>
    <w:qFormat/>
    <w:rPr>
      <w:rFonts w:ascii="游ゴシック Light" w:hAnsi="游ゴシック Light" w:eastAsia="游ゴシック Light" w:cs="Tahoma"/>
      <w:color w:val="000000"/>
    </w:rPr>
  </w:style>
  <w:style w:type="character" w:styleId="8">
    <w:name w:val="見出し 8 (文字)"/>
    <w:basedOn w:val="DefaultParagraphFont"/>
    <w:qFormat/>
    <w:rPr>
      <w:rFonts w:ascii="游ゴシック Light" w:hAnsi="游ゴシック Light" w:eastAsia="游ゴシック Light" w:cs="Tahoma"/>
      <w:color w:val="000000"/>
    </w:rPr>
  </w:style>
  <w:style w:type="character" w:styleId="9">
    <w:name w:val="見出し 9 (文字)"/>
    <w:basedOn w:val="DefaultParagraphFont"/>
    <w:qFormat/>
    <w:rPr>
      <w:rFonts w:ascii="游ゴシック Light" w:hAnsi="游ゴシック Light" w:eastAsia="游ゴシック Light" w:cs="Tahoma"/>
      <w:color w:val="000000"/>
    </w:rPr>
  </w:style>
  <w:style w:type="character" w:styleId="Style5">
    <w:name w:val="表題 (文字)"/>
    <w:basedOn w:val="DefaultParagraphFont"/>
    <w:qFormat/>
    <w:rPr>
      <w:rFonts w:ascii="游ゴシック Light" w:hAnsi="游ゴシック Light" w:eastAsia="游ゴシック Light" w:cs="Tahoma"/>
      <w:spacing w:val="-10"/>
      <w:sz w:val="56"/>
      <w:szCs w:val="56"/>
    </w:rPr>
  </w:style>
  <w:style w:type="character" w:styleId="Style6">
    <w:name w:val="副題 (文字)"/>
    <w:basedOn w:val="DefaultParagraphFont"/>
    <w:qFormat/>
    <w:rPr>
      <w:rFonts w:ascii="游ゴシック Light" w:hAnsi="游ゴシック Light" w:eastAsia="游ゴシック Light" w:cs="Tahoma"/>
      <w:color w:val="595959"/>
      <w:spacing w:val="15"/>
      <w:sz w:val="28"/>
      <w:szCs w:val="28"/>
    </w:rPr>
  </w:style>
  <w:style w:type="character" w:styleId="Style7">
    <w:name w:val="引用文 (文字)"/>
    <w:basedOn w:val="DefaultParagraphFont"/>
    <w:qFormat/>
    <w:rPr>
      <w:i/>
      <w:iCs/>
      <w:color w:val="404040"/>
    </w:rPr>
  </w:style>
  <w:style w:type="character" w:styleId="IntenseEmphasis">
    <w:name w:val="Intense Emphasis"/>
    <w:basedOn w:val="DefaultParagraphFont"/>
    <w:qFormat/>
    <w:rPr>
      <w:i/>
      <w:iCs/>
      <w:color w:val="2F5496"/>
    </w:rPr>
  </w:style>
  <w:style w:type="character" w:styleId="21">
    <w:name w:val="引用文 2 (文字)"/>
    <w:basedOn w:val="DefaultParagraphFont"/>
    <w:qFormat/>
    <w:rPr>
      <w:i/>
      <w:iCs/>
      <w:color w:val="2F5496"/>
    </w:rPr>
  </w:style>
  <w:style w:type="character" w:styleId="IntenseReference">
    <w:name w:val="Intense Reference"/>
    <w:basedOn w:val="DefaultParagraphFont"/>
    <w:qFormat/>
    <w:rPr>
      <w:b/>
      <w:bCs/>
      <w:smallCaps/>
      <w:color w:val="2F5496"/>
      <w:spacing w:val="5"/>
    </w:rPr>
  </w:style>
  <w:style w:type="character" w:styleId="Style8">
    <w:name w:val="記 (文字)"/>
    <w:basedOn w:val="DefaultParagraphFont"/>
    <w:qFormat/>
    <w:rPr>
      <w:sz w:val="24"/>
      <w:szCs w:val="24"/>
    </w:rPr>
  </w:style>
  <w:style w:type="character" w:styleId="Style9">
    <w:name w:val="結語 (文字)"/>
    <w:basedOn w:val="DefaultParagraphFont"/>
    <w:qFormat/>
    <w:rPr>
      <w:sz w:val="24"/>
      <w:szCs w:val="24"/>
    </w:rPr>
  </w:style>
  <w:style w:type="character" w:styleId="Style10">
    <w:name w:val="ヘッダー (文字)"/>
    <w:basedOn w:val="DefaultParagraphFont"/>
    <w:qFormat/>
    <w:rPr/>
  </w:style>
  <w:style w:type="character" w:styleId="Style11">
    <w:name w:val="フッター (文字)"/>
    <w:basedOn w:val="DefaultParagraphFont"/>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rFonts w:cs="DejaVu Sans"/>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rPr>
  </w:style>
  <w:style w:type="paragraph" w:styleId="Title">
    <w:name w:val="Title"/>
    <w:basedOn w:val="Normal"/>
    <w:qFormat/>
    <w:pPr>
      <w:widowControl w:val="false"/>
      <w:bidi w:val="0"/>
      <w:spacing w:before="0" w:after="80"/>
      <w:contextualSpacing/>
      <w:jc w:val="center"/>
    </w:pPr>
    <w:rPr>
      <w:rFonts w:ascii="游ゴシック Light" w:hAnsi="游ゴシック Light" w:eastAsia="游ゴシック Light" w:cs="Tahoma"/>
      <w:spacing w:val="-10"/>
      <w:sz w:val="56"/>
      <w:szCs w:val="56"/>
    </w:rPr>
  </w:style>
  <w:style w:type="paragraph" w:styleId="Subtitle">
    <w:name w:val="Subtitle"/>
    <w:basedOn w:val="Normal"/>
    <w:qFormat/>
    <w:pPr>
      <w:widowControl w:val="false"/>
      <w:bidi w:val="0"/>
      <w:spacing w:before="0" w:after="160"/>
      <w:jc w:val="center"/>
    </w:pPr>
    <w:rPr>
      <w:rFonts w:ascii="游ゴシック Light" w:hAnsi="游ゴシック Light" w:eastAsia="游ゴシック Light" w:cs="Tahoma"/>
      <w:color w:val="595959"/>
      <w:spacing w:val="15"/>
      <w:sz w:val="28"/>
      <w:szCs w:val="28"/>
    </w:rPr>
  </w:style>
  <w:style w:type="paragraph" w:styleId="Quote">
    <w:name w:val="Quote"/>
    <w:basedOn w:val="Normal"/>
    <w:qFormat/>
    <w:pPr>
      <w:widowControl w:val="false"/>
      <w:bidi w:val="0"/>
      <w:spacing w:before="160" w:after="160"/>
      <w:jc w:val="center"/>
    </w:pPr>
    <w:rPr>
      <w:i/>
      <w:iCs/>
      <w:color w:val="404040"/>
    </w:rPr>
  </w:style>
  <w:style w:type="paragraph" w:styleId="ListParagraph">
    <w:name w:val="List Paragraph"/>
    <w:basedOn w:val="Normal"/>
    <w:qFormat/>
    <w:pPr>
      <w:widowControl w:val="false"/>
      <w:bidi w:val="0"/>
      <w:spacing w:before="0" w:after="0"/>
      <w:ind w:left="720" w:right="0" w:hanging="0"/>
      <w:contextualSpacing/>
      <w:jc w:val="both"/>
    </w:pPr>
    <w:rPr/>
  </w:style>
  <w:style w:type="paragraph" w:styleId="IntenseQuote">
    <w:name w:val="Intense Quote"/>
    <w:basedOn w:val="Normal"/>
    <w:qFormat/>
    <w:pPr>
      <w:widowControl w:val="false"/>
      <w:pBdr>
        <w:top w:val="single" w:sz="4" w:space="10" w:color="2F5496"/>
        <w:bottom w:val="single" w:sz="4" w:space="10" w:color="2F5496"/>
      </w:pBdr>
      <w:bidi w:val="0"/>
      <w:spacing w:before="360" w:after="360"/>
      <w:ind w:left="864" w:right="864" w:hanging="0"/>
      <w:jc w:val="center"/>
    </w:pPr>
    <w:rPr>
      <w:i/>
      <w:iCs/>
      <w:color w:val="2F5496"/>
    </w:rPr>
  </w:style>
  <w:style w:type="paragraph" w:styleId="NoteHeading">
    <w:name w:val="Note Heading"/>
    <w:basedOn w:val="Normal"/>
    <w:qFormat/>
    <w:pPr>
      <w:widowControl w:val="false"/>
      <w:bidi w:val="0"/>
      <w:jc w:val="center"/>
    </w:pPr>
    <w:rPr>
      <w:sz w:val="24"/>
      <w:szCs w:val="24"/>
    </w:rPr>
  </w:style>
  <w:style w:type="paragraph" w:styleId="Closing">
    <w:name w:val="Closing"/>
    <w:basedOn w:val="Normal"/>
    <w:qFormat/>
    <w:pPr>
      <w:widowControl w:val="false"/>
      <w:bidi w:val="0"/>
      <w:jc w:val="right"/>
    </w:pPr>
    <w:rPr>
      <w:sz w:val="24"/>
      <w:szCs w:val="24"/>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
  <Pages>3</Pages>
  <Words>1047</Words>
  <Characters>1047</Characters>
  <CharactersWithSpaces>1180</CharactersWithSpaces>
  <Paragraphs>40</Paragraphs>
  <Company>Sanyo-Onoda 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2025-02-14T07:31:00Z</dcterms:created>
  <dc:creator>泉本 憲之</dc:creator>
  <dc:description/>
  <dc:language>en-US</dc:language>
  <cp:lastModifiedBy>泉本 憲之</cp:lastModifiedBy>
  <cp:lastPrinted>2025-02-10T02:23:00Z</cp:lastPrinted>
  <dcterms:modified xsi:type="dcterms:W3CDTF">2025-02-21T00:07:00Z</dcterms:modified>
  <cp:revision>7</cp:revision>
  <dc:subject/>
  <dc:title/>
</cp:coreProperties>
</file>