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77" w:right="0" w:hanging="0"/>
        <w:rPr>
          <w:rFonts w:ascii="ＭＳ 明朝" w:hAnsi="ＭＳ 明朝" w:eastAsia="ＭＳ 明朝"/>
          <w:sz w:val="24"/>
          <w:szCs w:val="24"/>
        </w:rPr>
      </w:pPr>
      <w:r>
        <mc:AlternateContent>
          <mc:Choice Requires="wps">
            <w:drawing>
              <wp:anchor behindDoc="0" distT="0" distB="28575" distL="114300" distR="133350" simplePos="0" locked="0" layoutInCell="1" allowOverlap="1" relativeHeight="2">
                <wp:simplePos x="0" y="0"/>
                <wp:positionH relativeFrom="column">
                  <wp:posOffset>4900295</wp:posOffset>
                </wp:positionH>
                <wp:positionV relativeFrom="paragraph">
                  <wp:posOffset>-500380</wp:posOffset>
                </wp:positionV>
                <wp:extent cx="1143635" cy="391160"/>
                <wp:effectExtent l="0" t="0" r="0" b="0"/>
                <wp:wrapNone/>
                <wp:docPr id="1" name="正方形/長方形 1"/>
                <a:graphic xmlns:a="http://schemas.openxmlformats.org/drawingml/2006/main">
                  <a:graphicData uri="http://schemas.microsoft.com/office/word/2010/wordprocessingShape">
                    <wps:wsp>
                      <wps:cNvSpPr/>
                      <wps:spPr>
                        <a:xfrm>
                          <a:off x="0" y="0"/>
                          <a:ext cx="1143000" cy="390600"/>
                        </a:xfrm>
                        <a:prstGeom prst="rect">
                          <a:avLst/>
                        </a:prstGeom>
                        <a:solidFill>
                          <a:srgbClr val="ffffff"/>
                        </a:solidFill>
                        <a:ln w="9360">
                          <a:solidFill>
                            <a:srgbClr val="000000"/>
                          </a:solidFill>
                          <a:round/>
                        </a:ln>
                      </wps:spPr>
                      <wps:style>
                        <a:lnRef idx="0"/>
                        <a:fillRef idx="0"/>
                        <a:effectRef idx="0"/>
                        <a:fontRef idx="minor"/>
                      </wps:style>
                      <wps:txbx>
                        <w:txbxContent>
                          <w:p>
                            <w:pPr>
                              <w:pStyle w:val="FrameContents"/>
                              <w:jc w:val="center"/>
                              <w:rPr/>
                            </w:pPr>
                            <w:r>
                              <w:rPr>
                                <w:rFonts w:ascii="ＭＳ ゴシック" w:hAnsi="ＭＳ ゴシック" w:eastAsia="ＭＳ ゴシック"/>
                                <w:color w:val="000000"/>
                                <w:sz w:val="28"/>
                                <w:szCs w:val="28"/>
                              </w:rPr>
                              <w:t>資料５</w:t>
                            </w:r>
                          </w:p>
                        </w:txbxContent>
                      </wps:txbx>
                      <wps:bodyPr anchor="ctr">
                        <a:noAutofit/>
                      </wps:bodyPr>
                    </wps:wsp>
                  </a:graphicData>
                </a:graphic>
              </wp:anchor>
            </w:drawing>
          </mc:Choice>
          <mc:Fallback>
            <w:pict>
              <v:rect id="shape_0" ID="正方形/長方形 1" fillcolor="white" stroked="t" style="position:absolute;margin-left:385.85pt;margin-top:-39.4pt;width:89.95pt;height:30.7pt">
                <w10:wrap type="square"/>
                <v:fill o:detectmouseclick="t" type="solid" color2="black"/>
                <v:stroke color="black" weight="9360" joinstyle="round" endcap="flat"/>
                <v:textbox>
                  <w:txbxContent>
                    <w:p>
                      <w:pPr>
                        <w:pStyle w:val="FrameContents"/>
                        <w:jc w:val="center"/>
                        <w:rPr/>
                      </w:pPr>
                      <w:r>
                        <w:rPr>
                          <w:rFonts w:ascii="ＭＳ ゴシック" w:hAnsi="ＭＳ ゴシック" w:eastAsia="ＭＳ ゴシック"/>
                          <w:color w:val="000000"/>
                          <w:sz w:val="28"/>
                          <w:szCs w:val="28"/>
                        </w:rPr>
                        <w:t>資料５</w:t>
                      </w:r>
                    </w:p>
                  </w:txbxContent>
                </v:textbox>
              </v:rect>
            </w:pict>
          </mc:Fallback>
        </mc:AlternateContent>
      </w:r>
      <w:r>
        <w:rPr>
          <w:rFonts w:ascii="ＭＳ 明朝" w:hAnsi="ＭＳ 明朝"/>
          <w:sz w:val="24"/>
          <w:szCs w:val="24"/>
        </w:rPr>
        <w:t>令和５年度 認知症初期集中支援チーム活動計画</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sz w:val="24"/>
          <w:szCs w:val="24"/>
        </w:rPr>
        <w:t>１　認知症初期集中支援チーム検討委員会の設置</w:t>
      </w:r>
    </w:p>
    <w:p>
      <w:pPr>
        <w:pStyle w:val="Normal"/>
        <w:ind w:left="518" w:right="0" w:firstLine="289"/>
        <w:rPr>
          <w:rFonts w:ascii="ＭＳ 明朝" w:hAnsi="ＭＳ 明朝" w:eastAsia="ＭＳ 明朝"/>
          <w:sz w:val="24"/>
          <w:szCs w:val="24"/>
        </w:rPr>
      </w:pPr>
      <w:r>
        <w:rPr>
          <w:rFonts w:ascii="ＭＳ 明朝" w:hAnsi="ＭＳ 明朝"/>
          <w:sz w:val="24"/>
          <w:szCs w:val="24"/>
        </w:rPr>
        <w:t>山陽小野田市地域包括支援センター運営協議会に兼ねて設置する。検討委員会は、支援チームの活動に関すること、認知症初期集中支援における関係機関又は関係団体との連携に関すること、その他支援チームの活動について必要な事項に関する事項について検討を行う。</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sz w:val="24"/>
          <w:szCs w:val="24"/>
        </w:rPr>
        <w:t>２　認知症初期集中支援チームとは</w:t>
      </w:r>
    </w:p>
    <w:p>
      <w:pPr>
        <w:pStyle w:val="Normal"/>
        <w:ind w:left="578" w:right="0" w:hanging="578"/>
        <w:rPr>
          <w:rFonts w:ascii="ＭＳ 明朝" w:hAnsi="ＭＳ 明朝" w:eastAsia="ＭＳ 明朝"/>
          <w:sz w:val="24"/>
          <w:szCs w:val="24"/>
        </w:rPr>
      </w:pPr>
      <w:r>
        <w:rPr>
          <w:rFonts w:ascii="ＭＳ 明朝" w:hAnsi="ＭＳ 明朝"/>
          <w:sz w:val="24"/>
          <w:szCs w:val="24"/>
        </w:rPr>
        <w:t>　　　複数の専門家が、家族の訴え等により認知症が疑われる人や認知症の人（以下「支援対象者」という。）及びその家族を訪問し、アセスメント、家族支援などの初期の支援を包括的、集中的に行い、自立生活のサポートを行うチームをいう。</w:t>
      </w:r>
    </w:p>
    <w:p>
      <w:pPr>
        <w:pStyle w:val="Normal"/>
        <w:ind w:left="0" w:right="0" w:firstLine="867"/>
        <w:rPr>
          <w:rFonts w:ascii="ＭＳ 明朝" w:hAnsi="ＭＳ 明朝" w:eastAsia="ＭＳ 明朝"/>
          <w:sz w:val="24"/>
          <w:szCs w:val="24"/>
        </w:rPr>
      </w:pPr>
      <w:r>
        <w:rPr>
          <w:rFonts w:ascii="ＭＳ 明朝" w:hAnsi="ＭＳ 明朝"/>
          <w:sz w:val="24"/>
          <w:szCs w:val="24"/>
        </w:rPr>
        <w:t>・地域包括支援センター職員　９名　</w:t>
      </w:r>
    </w:p>
    <w:p>
      <w:pPr>
        <w:pStyle w:val="Normal"/>
        <w:ind w:left="1446" w:right="0" w:hanging="1446"/>
        <w:rPr>
          <w:rFonts w:ascii="ＭＳ 明朝" w:hAnsi="ＭＳ 明朝" w:eastAsia="ＭＳ 明朝"/>
          <w:sz w:val="24"/>
          <w:szCs w:val="24"/>
        </w:rPr>
      </w:pPr>
      <w:r>
        <w:rPr>
          <w:rFonts w:ascii="ＭＳ 明朝" w:hAnsi="ＭＳ 明朝"/>
          <w:sz w:val="24"/>
          <w:szCs w:val="24"/>
        </w:rPr>
        <w:t>　　　・チーム員医師　認知症疾患医療センター　兼行医師</w:t>
      </w:r>
    </w:p>
    <w:p>
      <w:pPr>
        <w:pStyle w:val="Normal"/>
        <w:ind w:left="289" w:right="0" w:hanging="289"/>
        <w:rPr>
          <w:rFonts w:ascii="ＭＳ 明朝" w:hAnsi="ＭＳ 明朝" w:eastAsia="ＭＳ 明朝"/>
          <w:sz w:val="24"/>
          <w:szCs w:val="24"/>
        </w:rPr>
      </w:pPr>
      <w:r>
        <w:rPr>
          <w:rFonts w:eastAsia="ＭＳ 明朝" w:ascii="ＭＳ 明朝" w:hAnsi="ＭＳ 明朝"/>
          <w:sz w:val="24"/>
          <w:szCs w:val="24"/>
        </w:rPr>
      </w:r>
    </w:p>
    <w:p>
      <w:pPr>
        <w:pStyle w:val="Normal"/>
        <w:ind w:left="289" w:right="0" w:hanging="289"/>
        <w:rPr>
          <w:rFonts w:ascii="ＭＳ 明朝" w:hAnsi="ＭＳ 明朝" w:eastAsia="ＭＳ 明朝"/>
          <w:sz w:val="24"/>
          <w:szCs w:val="24"/>
        </w:rPr>
      </w:pPr>
      <w:r>
        <w:rPr>
          <w:rFonts w:ascii="ＭＳ 明朝" w:hAnsi="ＭＳ 明朝"/>
          <w:sz w:val="24"/>
          <w:szCs w:val="24"/>
        </w:rPr>
        <w:t>３　事業の目的</w:t>
      </w:r>
    </w:p>
    <w:p>
      <w:pPr>
        <w:pStyle w:val="Normal"/>
        <w:ind w:left="578" w:right="0" w:hanging="578"/>
        <w:rPr>
          <w:rFonts w:ascii="ＭＳ 明朝" w:hAnsi="ＭＳ 明朝" w:eastAsia="ＭＳ 明朝"/>
          <w:sz w:val="24"/>
          <w:szCs w:val="24"/>
        </w:rPr>
      </w:pPr>
      <w:r>
        <w:rPr>
          <w:rFonts w:ascii="ＭＳ 明朝" w:hAnsi="ＭＳ 明朝"/>
          <w:sz w:val="24"/>
          <w:szCs w:val="24"/>
        </w:rPr>
        <w:t>　　　認知症になっても本人の意思が尊重され、できる限り住み慣れた地域のよい環境で暮らし続けられるために、認知症の人やその家族に早期に関わる「認知症初期集中支援チーム」（以下「支援チーム」という。）を配置し、早期診断・早期対応に向けた支援体制を構築することを目的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lang w:eastAsia="zh-TW"/>
        </w:rPr>
      </w:pPr>
      <w:r>
        <w:rPr>
          <w:rFonts w:ascii="ＭＳ 明朝" w:hAnsi="ＭＳ 明朝"/>
          <w:sz w:val="24"/>
          <w:szCs w:val="24"/>
          <w:lang w:eastAsia="zh-TW"/>
        </w:rPr>
        <w:t>４　法的根拠</w:t>
      </w:r>
    </w:p>
    <w:p>
      <w:pPr>
        <w:pStyle w:val="Normal"/>
        <w:rPr>
          <w:rFonts w:ascii="ＭＳ 明朝" w:hAnsi="ＭＳ 明朝" w:eastAsia="ＭＳ 明朝"/>
          <w:sz w:val="24"/>
          <w:szCs w:val="24"/>
          <w:lang w:eastAsia="zh-TW"/>
        </w:rPr>
      </w:pPr>
      <w:r>
        <w:rPr>
          <w:rFonts w:ascii="ＭＳ 明朝" w:hAnsi="ＭＳ 明朝"/>
          <w:sz w:val="24"/>
          <w:szCs w:val="24"/>
          <w:lang w:eastAsia="zh-TW"/>
        </w:rPr>
        <w:t>　　　介護保険法　地域支援事業　包括的支援事業（社会保障充実分）</w:t>
      </w:r>
    </w:p>
    <w:p>
      <w:pPr>
        <w:pStyle w:val="Normal"/>
        <w:rPr/>
      </w:pPr>
      <w:r>
        <w:rPr>
          <w:rFonts w:ascii="ＭＳ 明朝" w:hAnsi="ＭＳ 明朝"/>
          <w:sz w:val="24"/>
          <w:szCs w:val="24"/>
          <w:lang w:eastAsia="zh-TW"/>
        </w:rPr>
        <w:t>　　　</w:t>
      </w:r>
      <w:r>
        <w:rPr>
          <w:rFonts w:ascii="ＭＳ 明朝" w:hAnsi="ＭＳ 明朝"/>
          <w:sz w:val="24"/>
          <w:szCs w:val="24"/>
        </w:rPr>
        <w:t>認知症総合支援事業（法第１１５条の４５第２項第６号）</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sz w:val="24"/>
          <w:szCs w:val="24"/>
        </w:rPr>
        <w:t>５　事業目標</w:t>
      </w:r>
    </w:p>
    <w:p>
      <w:pPr>
        <w:pStyle w:val="Normal"/>
        <w:ind w:left="867" w:right="0" w:hanging="867"/>
        <w:rPr>
          <w:rFonts w:ascii="ＭＳ 明朝" w:hAnsi="ＭＳ 明朝" w:eastAsia="ＭＳ 明朝"/>
          <w:sz w:val="24"/>
          <w:szCs w:val="24"/>
        </w:rPr>
      </w:pPr>
      <w:r>
        <w:rPr>
          <w:rFonts w:ascii="ＭＳ 明朝" w:hAnsi="ＭＳ 明朝"/>
          <w:sz w:val="24"/>
          <w:szCs w:val="24"/>
        </w:rPr>
        <w:t>　　</w:t>
      </w:r>
      <w:r>
        <w:rPr>
          <w:rFonts w:eastAsia="ＭＳ 明朝" w:ascii="ＭＳ 明朝" w:hAnsi="ＭＳ 明朝"/>
          <w:sz w:val="24"/>
          <w:szCs w:val="24"/>
        </w:rPr>
        <w:t>(1)</w:t>
      </w:r>
      <w:r>
        <w:rPr>
          <w:rFonts w:ascii="ＭＳ 明朝" w:hAnsi="ＭＳ 明朝"/>
          <w:sz w:val="24"/>
          <w:szCs w:val="24"/>
        </w:rPr>
        <w:t>認知症が疑われる人、認知所の人とその家族を訪問し、本人や家族支援等の初期の支援を包括的・集中的に行い、在宅生活継続のためのサポートを行う。</w:t>
      </w:r>
    </w:p>
    <w:p>
      <w:pPr>
        <w:pStyle w:val="Normal"/>
        <w:ind w:left="867" w:right="0" w:hanging="867"/>
        <w:rPr>
          <w:rFonts w:ascii="ＭＳ 明朝" w:hAnsi="ＭＳ 明朝" w:eastAsia="ＭＳ 明朝"/>
          <w:sz w:val="24"/>
          <w:szCs w:val="24"/>
        </w:rPr>
      </w:pPr>
      <w:r>
        <w:rPr>
          <w:rFonts w:ascii="ＭＳ 明朝" w:hAnsi="ＭＳ 明朝"/>
          <w:sz w:val="24"/>
          <w:szCs w:val="24"/>
        </w:rPr>
        <w:t>　　</w:t>
      </w:r>
      <w:r>
        <w:rPr>
          <w:rFonts w:eastAsia="ＭＳ 明朝" w:ascii="ＭＳ 明朝" w:hAnsi="ＭＳ 明朝"/>
          <w:sz w:val="24"/>
          <w:szCs w:val="24"/>
        </w:rPr>
        <w:t>(2)</w:t>
      </w:r>
      <w:r>
        <w:rPr>
          <w:rFonts w:ascii="ＭＳ 明朝" w:hAnsi="ＭＳ 明朝"/>
          <w:sz w:val="24"/>
          <w:szCs w:val="24"/>
        </w:rPr>
        <w:t>多くの市民や関係機関に対して積極的に周知し、早期に適切で効果的な支援が行える体制を構築する。</w:t>
      </w:r>
    </w:p>
    <w:tbl>
      <w:tblPr>
        <w:tblW w:w="8055" w:type="dxa"/>
        <w:jc w:val="left"/>
        <w:tblInd w:w="10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952"/>
        <w:gridCol w:w="2551"/>
        <w:gridCol w:w="2552"/>
      </w:tblGrid>
      <w:tr>
        <w:trPr/>
        <w:tc>
          <w:tcPr>
            <w:tcW w:w="2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Times New Roman" w:cs="Times New Roman"/>
                <w:sz w:val="24"/>
                <w:szCs w:val="24"/>
              </w:rPr>
            </w:pPr>
            <w:r>
              <w:rPr>
                <w:rFonts w:eastAsia="Times New Roman" w:cs="Times New Roman"/>
                <w:sz w:val="24"/>
                <w:szCs w:val="24"/>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sz w:val="24"/>
                <w:szCs w:val="24"/>
              </w:rPr>
            </w:pPr>
            <w:r>
              <w:rPr>
                <w:rFonts w:ascii="ＭＳ 明朝" w:hAnsi="ＭＳ 明朝" w:cs="Times New Roman"/>
                <w:sz w:val="24"/>
                <w:szCs w:val="24"/>
              </w:rPr>
              <w:t>令和３年度実績</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sz w:val="24"/>
                <w:szCs w:val="24"/>
              </w:rPr>
            </w:pPr>
            <w:r>
              <w:rPr>
                <w:rFonts w:ascii="ＭＳ 明朝" w:hAnsi="ＭＳ 明朝" w:cs="Times New Roman"/>
                <w:sz w:val="24"/>
                <w:szCs w:val="24"/>
              </w:rPr>
              <w:t>令和５年度</w:t>
            </w:r>
          </w:p>
        </w:tc>
      </w:tr>
      <w:tr>
        <w:trPr/>
        <w:tc>
          <w:tcPr>
            <w:tcW w:w="2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sz w:val="24"/>
                <w:szCs w:val="24"/>
              </w:rPr>
            </w:pPr>
            <w:r>
              <w:rPr>
                <w:rFonts w:ascii="ＭＳ 明朝" w:hAnsi="ＭＳ 明朝" w:cs="Times New Roman"/>
                <w:sz w:val="24"/>
                <w:szCs w:val="24"/>
              </w:rPr>
              <w:t>認知症初期集中支援チームの対応件数</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cs="Times New Roman"/>
                <w:sz w:val="24"/>
                <w:szCs w:val="24"/>
              </w:rPr>
            </w:pPr>
            <w:r>
              <w:rPr>
                <w:rFonts w:ascii="ＭＳ 明朝" w:hAnsi="ＭＳ 明朝" w:cs="Times New Roman"/>
                <w:sz w:val="24"/>
                <w:szCs w:val="24"/>
              </w:rPr>
              <w:t>１３件</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cs="Times New Roman"/>
                <w:sz w:val="24"/>
                <w:szCs w:val="24"/>
              </w:rPr>
            </w:pPr>
            <w:r>
              <w:rPr>
                <w:rFonts w:ascii="ＭＳ 明朝" w:hAnsi="ＭＳ 明朝" w:cs="Times New Roman"/>
                <w:sz w:val="24"/>
                <w:szCs w:val="24"/>
              </w:rPr>
              <w:t>１２件</w:t>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left="1157" w:right="0" w:hanging="1157"/>
        <w:rPr>
          <w:rFonts w:ascii="ＭＳ 明朝" w:hAnsi="ＭＳ 明朝" w:eastAsia="ＭＳ 明朝"/>
          <w:sz w:val="24"/>
          <w:szCs w:val="24"/>
        </w:rPr>
      </w:pPr>
      <w:r>
        <w:rPr>
          <w:rFonts w:ascii="ＭＳ 明朝" w:hAnsi="ＭＳ 明朝"/>
          <w:sz w:val="24"/>
          <w:szCs w:val="24"/>
        </w:rPr>
        <w:t>６　対象</w:t>
      </w:r>
    </w:p>
    <w:p>
      <w:pPr>
        <w:pStyle w:val="Normal"/>
        <w:ind w:left="518" w:right="0" w:firstLine="289"/>
        <w:rPr>
          <w:rFonts w:ascii="ＭＳ 明朝" w:hAnsi="ＭＳ 明朝" w:eastAsia="ＭＳ 明朝"/>
          <w:sz w:val="24"/>
          <w:szCs w:val="24"/>
        </w:rPr>
      </w:pPr>
      <w:r>
        <w:rPr>
          <w:rFonts w:ascii="ＭＳ 明朝" w:hAnsi="ＭＳ 明朝"/>
          <w:sz w:val="24"/>
          <w:szCs w:val="24"/>
        </w:rPr>
        <w:t>支援対象者は、原則として、４０歳以上で、在宅で生活しており、かつ認知症が疑われる人、または認知症の人で、以下のいずれかの基準に該当する人。</w:t>
      </w:r>
    </w:p>
    <w:p>
      <w:pPr>
        <w:pStyle w:val="Normal"/>
        <w:ind w:left="1500" w:right="0" w:hanging="723"/>
        <w:rPr>
          <w:rFonts w:ascii="ＭＳ 明朝" w:hAnsi="ＭＳ 明朝" w:eastAsia="ＭＳ 明朝"/>
          <w:sz w:val="24"/>
          <w:szCs w:val="24"/>
        </w:rPr>
      </w:pPr>
      <w:r>
        <w:rPr>
          <w:rFonts w:eastAsia="ＭＳ 明朝" w:ascii="ＭＳ 明朝" w:hAnsi="ＭＳ 明朝"/>
          <w:sz w:val="24"/>
          <w:szCs w:val="24"/>
        </w:rPr>
        <w:t>(1)</w:t>
      </w:r>
      <w:r>
        <w:rPr>
          <w:rFonts w:ascii="ＭＳ 明朝" w:hAnsi="ＭＳ 明朝"/>
          <w:sz w:val="24"/>
          <w:szCs w:val="24"/>
        </w:rPr>
        <w:t>医療サービス、介護サービスを受けていない、または中断し</w:t>
      </w:r>
    </w:p>
    <w:p>
      <w:pPr>
        <w:pStyle w:val="Normal"/>
        <w:ind w:left="1471" w:right="0" w:hanging="434"/>
        <w:rPr>
          <w:rFonts w:ascii="ＭＳ 明朝" w:hAnsi="ＭＳ 明朝" w:eastAsia="ＭＳ 明朝"/>
          <w:sz w:val="24"/>
          <w:szCs w:val="24"/>
        </w:rPr>
      </w:pPr>
      <w:r>
        <w:rPr>
          <w:rFonts w:ascii="ＭＳ 明朝" w:hAnsi="ＭＳ 明朝"/>
          <w:sz w:val="24"/>
          <w:szCs w:val="24"/>
        </w:rPr>
        <w:t>ている人</w:t>
      </w:r>
    </w:p>
    <w:p>
      <w:pPr>
        <w:pStyle w:val="Normal"/>
        <w:ind w:left="1157" w:right="0" w:hanging="1157"/>
        <w:rPr>
          <w:rFonts w:ascii="ＭＳ 明朝" w:hAnsi="ＭＳ 明朝" w:eastAsia="ＭＳ 明朝"/>
          <w:sz w:val="24"/>
          <w:szCs w:val="24"/>
        </w:rPr>
      </w:pPr>
      <w:r>
        <w:rPr>
          <w:rFonts w:ascii="ＭＳ 明朝" w:hAnsi="ＭＳ 明朝"/>
          <w:sz w:val="24"/>
          <w:szCs w:val="24"/>
        </w:rPr>
        <w:t>　　　　　ア　認知症疾患の臨床診断を受けていない人</w:t>
      </w:r>
    </w:p>
    <w:p>
      <w:pPr>
        <w:pStyle w:val="Normal"/>
        <w:ind w:left="1157" w:right="0" w:hanging="1157"/>
        <w:rPr>
          <w:rFonts w:ascii="ＭＳ 明朝" w:hAnsi="ＭＳ 明朝" w:eastAsia="ＭＳ 明朝"/>
          <w:sz w:val="24"/>
          <w:szCs w:val="24"/>
        </w:rPr>
      </w:pPr>
      <w:r>
        <w:rPr>
          <w:rFonts w:ascii="ＭＳ 明朝" w:hAnsi="ＭＳ 明朝"/>
          <w:sz w:val="24"/>
          <w:szCs w:val="24"/>
        </w:rPr>
        <w:t>　　　　　イ　継続的な医療サービスを受けていない人</w:t>
      </w:r>
    </w:p>
    <w:p>
      <w:pPr>
        <w:pStyle w:val="Normal"/>
        <w:ind w:left="1157" w:right="0" w:hanging="1157"/>
        <w:rPr>
          <w:rFonts w:ascii="ＭＳ 明朝" w:hAnsi="ＭＳ 明朝" w:eastAsia="ＭＳ 明朝"/>
          <w:sz w:val="24"/>
          <w:szCs w:val="24"/>
        </w:rPr>
      </w:pPr>
      <w:r>
        <w:rPr>
          <w:rFonts w:ascii="ＭＳ 明朝" w:hAnsi="ＭＳ 明朝"/>
          <w:sz w:val="24"/>
          <w:szCs w:val="24"/>
        </w:rPr>
        <w:t>　　　　　ウ　適切な介護保険サービスに結びついていない人</w:t>
      </w:r>
    </w:p>
    <w:p>
      <w:pPr>
        <w:pStyle w:val="Normal"/>
        <w:ind w:left="1157" w:right="0" w:hanging="1157"/>
        <w:rPr>
          <w:rFonts w:ascii="ＭＳ 明朝" w:hAnsi="ＭＳ 明朝" w:eastAsia="ＭＳ 明朝"/>
          <w:sz w:val="24"/>
          <w:szCs w:val="24"/>
        </w:rPr>
      </w:pPr>
      <w:r>
        <w:rPr>
          <w:rFonts w:ascii="ＭＳ 明朝" w:hAnsi="ＭＳ 明朝"/>
          <w:sz w:val="24"/>
          <w:szCs w:val="24"/>
        </w:rPr>
        <w:t>　　　　　エ　診断されたが介護サービスが中断している人</w:t>
      </w:r>
    </w:p>
    <w:p>
      <w:pPr>
        <w:pStyle w:val="Normal"/>
        <w:ind w:left="1475" w:right="0" w:hanging="723"/>
        <w:rPr>
          <w:rFonts w:ascii="ＭＳ 明朝" w:hAnsi="ＭＳ 明朝" w:eastAsia="ＭＳ 明朝"/>
          <w:sz w:val="24"/>
          <w:szCs w:val="24"/>
        </w:rPr>
      </w:pPr>
      <w:r>
        <w:rPr>
          <w:rFonts w:eastAsia="ＭＳ 明朝" w:ascii="ＭＳ 明朝" w:hAnsi="ＭＳ 明朝"/>
          <w:sz w:val="24"/>
          <w:szCs w:val="24"/>
        </w:rPr>
        <w:t>(2)</w:t>
      </w:r>
      <w:r>
        <w:rPr>
          <w:rFonts w:ascii="ＭＳ 明朝" w:hAnsi="ＭＳ 明朝"/>
          <w:sz w:val="24"/>
          <w:szCs w:val="24"/>
        </w:rPr>
        <w:t>医療サービス、介護サービスを受けているが認知症の行動・</w:t>
      </w:r>
    </w:p>
    <w:p>
      <w:pPr>
        <w:pStyle w:val="Normal"/>
        <w:ind w:left="1445" w:right="0" w:hanging="434"/>
        <w:rPr>
          <w:rFonts w:ascii="ＭＳ 明朝" w:hAnsi="ＭＳ 明朝" w:eastAsia="ＭＳ 明朝"/>
          <w:sz w:val="24"/>
          <w:szCs w:val="24"/>
        </w:rPr>
      </w:pPr>
      <w:r>
        <w:rPr>
          <w:rFonts w:ascii="ＭＳ 明朝" w:hAnsi="ＭＳ 明朝"/>
          <w:sz w:val="24"/>
          <w:szCs w:val="24"/>
        </w:rPr>
        <w:t>心理状態が顕著なため、対応に苦慮している人</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sz w:val="24"/>
          <w:szCs w:val="24"/>
        </w:rPr>
        <w:t>７　支援対象者の把握方法</w:t>
      </w:r>
    </w:p>
    <w:p>
      <w:pPr>
        <w:pStyle w:val="Normal"/>
        <w:rPr>
          <w:rFonts w:ascii="ＭＳ 明朝" w:hAnsi="ＭＳ 明朝" w:eastAsia="ＭＳ 明朝"/>
          <w:sz w:val="24"/>
          <w:szCs w:val="24"/>
        </w:rPr>
      </w:pPr>
      <w:r>
        <w:rPr>
          <w:rFonts w:ascii="ＭＳ 明朝" w:hAnsi="ＭＳ 明朝"/>
          <w:sz w:val="24"/>
          <w:szCs w:val="24"/>
        </w:rPr>
        <w:t>　　　本人・家族・近隣住民・民生委員からの相談、関係機関からの相</w:t>
      </w:r>
    </w:p>
    <w:p>
      <w:pPr>
        <w:pStyle w:val="Normal"/>
        <w:ind w:left="0" w:right="0" w:firstLine="578"/>
        <w:rPr>
          <w:rFonts w:ascii="ＭＳ 明朝" w:hAnsi="ＭＳ 明朝" w:eastAsia="ＭＳ 明朝"/>
          <w:sz w:val="24"/>
          <w:szCs w:val="24"/>
        </w:rPr>
      </w:pPr>
      <w:r>
        <w:rPr>
          <w:rFonts w:ascii="ＭＳ 明朝" w:hAnsi="ＭＳ 明朝"/>
          <w:sz w:val="24"/>
          <w:szCs w:val="24"/>
        </w:rPr>
        <w:t>談・紹介等</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sz w:val="24"/>
          <w:szCs w:val="24"/>
        </w:rPr>
        <w:t>８　事業評価方法</w:t>
      </w:r>
    </w:p>
    <w:p>
      <w:pPr>
        <w:pStyle w:val="Normal"/>
        <w:ind w:left="0" w:right="0" w:firstLine="867"/>
        <w:rPr>
          <w:rFonts w:ascii="ＭＳ 明朝" w:hAnsi="ＭＳ 明朝" w:eastAsia="ＭＳ 明朝"/>
          <w:sz w:val="24"/>
          <w:szCs w:val="24"/>
        </w:rPr>
      </w:pPr>
      <w:r>
        <w:rPr>
          <w:rFonts w:ascii="ＭＳ 明朝" w:hAnsi="ＭＳ 明朝"/>
          <w:sz w:val="24"/>
          <w:szCs w:val="24"/>
        </w:rPr>
        <w:t>国立長寿医療研究センター作成の実績報告プログラムを使用</w:t>
      </w:r>
    </w:p>
    <w:p>
      <w:pPr>
        <w:pStyle w:val="Normal"/>
        <w:ind w:left="1066" w:right="0" w:hanging="289"/>
        <w:jc w:val="left"/>
        <w:rPr>
          <w:rFonts w:ascii="ＭＳ 明朝" w:hAnsi="ＭＳ 明朝" w:eastAsia="ＭＳ 明朝"/>
          <w:sz w:val="24"/>
          <w:szCs w:val="24"/>
        </w:rPr>
      </w:pPr>
      <w:r>
        <w:rPr>
          <w:rFonts w:ascii="ＭＳ 明朝" w:hAnsi="ＭＳ 明朝"/>
          <w:sz w:val="24"/>
          <w:szCs w:val="24"/>
        </w:rPr>
        <w:t>（対応件数、医療・介護サービスへの引き継ぎ件数、認知機能評価の得点）</w:t>
      </w:r>
    </w:p>
    <w:sectPr>
      <w:type w:val="nextPage"/>
      <w:pgSz w:w="11906" w:h="16838"/>
      <w:pgMar w:left="1418" w:right="1418" w:header="0" w:top="1418" w:footer="0" w:bottom="1418"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character" w:styleId="DefaultParagraphFont">
    <w:name w:val="Default Paragraph Font"/>
    <w:qFormat/>
    <w:rPr>
      <w:rFonts w:ascii="Century" w:hAnsi="Century" w:eastAsia="ＭＳ 明朝" w:cs="Times New Roman"/>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rFonts w:ascii="Century" w:hAnsi="Century" w:eastAsia="ＭＳ 明朝" w:cs="Times New Roman"/>
    </w:rPr>
  </w:style>
  <w:style w:type="character" w:styleId="Style16">
    <w:name w:val="フッター (文字)"/>
    <w:basedOn w:val="DefaultParagraphFont"/>
    <w:qFormat/>
    <w:rPr>
      <w:rFonts w:ascii="Century" w:hAnsi="Century" w:eastAsia="ＭＳ 明朝" w:cs="Times New Roman"/>
    </w:rPr>
  </w:style>
  <w:style w:type="character" w:styleId="Style17">
    <w:name w:val="記 (文字)"/>
    <w:basedOn w:val="DefaultParagraphFont"/>
    <w:qFormat/>
    <w:rPr>
      <w:rFonts w:ascii="Century" w:hAnsi="Century" w:eastAsia="ＭＳ 明朝" w:cs="Times New Roman"/>
      <w:sz w:val="24"/>
      <w:szCs w:val="24"/>
    </w:rPr>
  </w:style>
  <w:style w:type="character" w:styleId="Style18">
    <w:name w:val="結語 (文字)"/>
    <w:basedOn w:val="DefaultParagraphFont"/>
    <w:qFormat/>
    <w:rPr>
      <w:rFonts w:ascii="Century" w:hAnsi="Century" w:eastAsia="ＭＳ 明朝" w:cs="Times New Roman"/>
      <w:sz w:val="24"/>
      <w:szCs w:val="24"/>
    </w:rPr>
  </w:style>
  <w:style w:type="character" w:styleId="ListLabel1">
    <w:name w:val="ListLabel 1"/>
    <w:qFormat/>
    <w:rPr>
      <w:rFonts w:ascii="Century" w:hAnsi="Century" w:eastAsia="ＭＳ ゴシック" w:cs="Times New Roman"/>
    </w:rPr>
  </w:style>
  <w:style w:type="character" w:styleId="ListLabel2">
    <w:name w:val="ListLabel 2"/>
    <w:qFormat/>
    <w:rPr>
      <w:rFonts w:ascii="Century" w:hAnsi="Century" w:eastAsia="ＭＳ 明朝" w:cs="Times New Roman"/>
    </w:rPr>
  </w:style>
  <w:style w:type="character" w:styleId="ListLabel3">
    <w:name w:val="ListLabel 3"/>
    <w:qFormat/>
    <w:rPr>
      <w:rFonts w:ascii="Century" w:hAnsi="Century" w:eastAsia="ＭＳ 明朝" w:cs="Times New Roman"/>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Century" w:hAnsi="Century" w:eastAsia="ＭＳ 明朝" w:cs="Times New Roman"/>
    </w:rPr>
  </w:style>
  <w:style w:type="paragraph" w:styleId="List">
    <w:name w:val="List"/>
    <w:basedOn w:val="TextBody"/>
    <w:pPr>
      <w:widowControl w:val="false"/>
      <w:bidi w:val="0"/>
      <w:jc w:val="both"/>
    </w:pPr>
    <w:rPr>
      <w:rFonts w:ascii="Century" w:hAnsi="Century" w:eastAsia="ＭＳ 明朝" w:cs="Times New Roman"/>
    </w:rPr>
  </w:style>
  <w:style w:type="paragraph" w:styleId="Caption">
    <w:name w:val="Caption"/>
    <w:basedOn w:val="Normal"/>
    <w:qFormat/>
    <w:pPr>
      <w:widowControl w:val="false"/>
      <w:suppressLineNumbers/>
      <w:bidi w:val="0"/>
      <w:spacing w:before="120" w:after="120"/>
      <w:jc w:val="both"/>
    </w:pPr>
    <w:rPr>
      <w:rFonts w:ascii="Century" w:hAnsi="Century" w:eastAsia="ＭＳ 明朝" w:cs="Times New Roman"/>
      <w:i/>
      <w:iCs/>
      <w:sz w:val="24"/>
      <w:szCs w:val="24"/>
    </w:rPr>
  </w:style>
  <w:style w:type="paragraph" w:styleId="Index">
    <w:name w:val="Index"/>
    <w:basedOn w:val="Normal"/>
    <w:qFormat/>
    <w:pPr>
      <w:widowControl w:val="false"/>
      <w:suppressLineNumbers/>
      <w:bidi w:val="0"/>
      <w:jc w:val="both"/>
    </w:pPr>
    <w:rPr>
      <w:rFonts w:ascii="Century" w:hAnsi="Century" w:eastAsia="ＭＳ 明朝" w:cs="Times New Roman"/>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ListParagraph">
    <w:name w:val="List Paragraph"/>
    <w:basedOn w:val="Normal"/>
    <w:qFormat/>
    <w:pPr>
      <w:widowControl w:val="false"/>
      <w:bidi w:val="0"/>
      <w:ind w:left="840" w:right="0" w:hanging="0"/>
      <w:jc w:val="both"/>
    </w:pPr>
    <w:rPr>
      <w:rFonts w:ascii="Century" w:hAnsi="Century" w:eastAsia="ＭＳ 明朝" w:cs="Times New Roman"/>
    </w:rPr>
  </w:style>
  <w:style w:type="paragraph" w:styleId="Header">
    <w:name w:val="Header"/>
    <w:basedOn w:val="Normal"/>
    <w:pPr>
      <w:widowControl w:val="false"/>
      <w:tabs>
        <w:tab w:val="center" w:pos="4252" w:leader="none"/>
        <w:tab w:val="right" w:pos="8504" w:leader="none"/>
      </w:tabs>
      <w:bidi w:val="0"/>
      <w:snapToGrid w:val="false"/>
      <w:jc w:val="both"/>
    </w:pPr>
    <w:rPr>
      <w:rFonts w:ascii="Century" w:hAnsi="Century" w:eastAsia="ＭＳ 明朝" w:cs="Times New Roman"/>
    </w:rPr>
  </w:style>
  <w:style w:type="paragraph" w:styleId="Footer">
    <w:name w:val="Footer"/>
    <w:basedOn w:val="Normal"/>
    <w:pPr>
      <w:widowControl w:val="false"/>
      <w:tabs>
        <w:tab w:val="center" w:pos="4252" w:leader="none"/>
        <w:tab w:val="right" w:pos="8504" w:leader="none"/>
      </w:tabs>
      <w:bidi w:val="0"/>
      <w:snapToGrid w:val="false"/>
      <w:jc w:val="both"/>
    </w:pPr>
    <w:rPr>
      <w:rFonts w:ascii="Century" w:hAnsi="Century" w:eastAsia="ＭＳ 明朝" w:cs="Times New Roman"/>
    </w:rPr>
  </w:style>
  <w:style w:type="paragraph" w:styleId="NoteHeading">
    <w:name w:val="Note Heading"/>
    <w:basedOn w:val="Normal"/>
    <w:qFormat/>
    <w:pPr>
      <w:widowControl w:val="false"/>
      <w:bidi w:val="0"/>
      <w:jc w:val="center"/>
    </w:pPr>
    <w:rPr>
      <w:rFonts w:ascii="Century" w:hAnsi="Century" w:eastAsia="ＭＳ 明朝" w:cs="DejaVu Sans"/>
      <w:sz w:val="24"/>
      <w:szCs w:val="24"/>
    </w:rPr>
  </w:style>
  <w:style w:type="paragraph" w:styleId="Closing">
    <w:name w:val="Closing"/>
    <w:basedOn w:val="Normal"/>
    <w:qFormat/>
    <w:pPr>
      <w:widowControl w:val="false"/>
      <w:bidi w:val="0"/>
      <w:jc w:val="right"/>
    </w:pPr>
    <w:rPr>
      <w:rFonts w:ascii="Century" w:hAnsi="Century" w:eastAsia="ＭＳ 明朝" w:cs="DejaVu Sans"/>
      <w:sz w:val="24"/>
      <w:szCs w:val="24"/>
    </w:rPr>
  </w:style>
  <w:style w:type="paragraph" w:styleId="FrameContents">
    <w:name w:val="Frame Contents"/>
    <w:basedOn w:val="Normal"/>
    <w:qFormat/>
    <w:pPr>
      <w:widowControl w:val="false"/>
      <w:bidi w:val="0"/>
      <w:jc w:val="both"/>
    </w:pPr>
    <w:rPr>
      <w:rFonts w:ascii="Century" w:hAnsi="Century" w:eastAsia="ＭＳ 明朝" w:cs="Times New Roman"/>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168</TotalTime>
  <Application>FastSanitizer</Application>
  <Pages>2</Pages>
  <Words>1026</Words>
  <Characters>1034</Characters>
  <CharactersWithSpaces>1095</CharactersWithSpaces>
  <Paragraphs>37</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2020-04-23T01:33:00Z</dcterms:created>
  <dc:creator>山陽小野田市</dc:creator>
  <dc:description/>
  <dc:language>en-US</dc:language>
  <cp:lastModifiedBy>古谷 直美</cp:lastModifiedBy>
  <cp:lastPrinted>2022-06-08T08:11:00Z</cp:lastPrinted>
  <dcterms:modified xsi:type="dcterms:W3CDTF">2023-06-08T08:42:00Z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